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AC4B" w14:textId="77777777" w:rsidR="00FD3FE9" w:rsidRPr="00C3673F" w:rsidRDefault="00FD3FE9" w:rsidP="00FD3FE9">
      <w:pPr>
        <w:jc w:val="center"/>
        <w:rPr>
          <w:b/>
          <w:bCs/>
          <w:sz w:val="24"/>
          <w:szCs w:val="24"/>
          <w:u w:val="single"/>
        </w:rPr>
      </w:pPr>
      <w:r w:rsidRPr="00C3673F">
        <w:rPr>
          <w:b/>
          <w:bCs/>
          <w:sz w:val="24"/>
          <w:szCs w:val="24"/>
          <w:u w:val="single"/>
        </w:rPr>
        <w:t>KBOR POST-TENURE POLICY</w:t>
      </w:r>
    </w:p>
    <w:p w14:paraId="062B9BA1" w14:textId="77777777" w:rsidR="00FD3FE9" w:rsidRPr="00C3673F" w:rsidRDefault="00FD3FE9" w:rsidP="00FD3FE9">
      <w:pPr>
        <w:jc w:val="center"/>
        <w:rPr>
          <w:sz w:val="24"/>
          <w:szCs w:val="24"/>
        </w:rPr>
      </w:pPr>
    </w:p>
    <w:p w14:paraId="51FE35EC" w14:textId="77777777" w:rsidR="00FD3FE9" w:rsidRPr="00C3673F" w:rsidRDefault="00FD3FE9" w:rsidP="00FD3FE9">
      <w:pPr>
        <w:rPr>
          <w:sz w:val="24"/>
          <w:szCs w:val="24"/>
        </w:rPr>
      </w:pPr>
      <w:r w:rsidRPr="00C3673F">
        <w:rPr>
          <w:sz w:val="24"/>
          <w:szCs w:val="24"/>
        </w:rPr>
        <w:t xml:space="preserve">CHAPTER II: GOVERNANCE – STATE UNIVERSITIES . . . </w:t>
      </w:r>
    </w:p>
    <w:p w14:paraId="20676EAF" w14:textId="77777777" w:rsidR="00FD3FE9" w:rsidRPr="00C3673F" w:rsidRDefault="00FD3FE9" w:rsidP="00FD3FE9">
      <w:pPr>
        <w:rPr>
          <w:sz w:val="24"/>
          <w:szCs w:val="24"/>
        </w:rPr>
      </w:pPr>
      <w:r w:rsidRPr="00C3673F">
        <w:rPr>
          <w:sz w:val="24"/>
          <w:szCs w:val="24"/>
        </w:rPr>
        <w:t xml:space="preserve">C. CHIEF EXECUTIVE OFFICER, FACULTY AND STAFF . . . </w:t>
      </w:r>
    </w:p>
    <w:p w14:paraId="3B0E0225" w14:textId="77777777" w:rsidR="00FD3FE9" w:rsidRPr="00C3673F" w:rsidRDefault="00FD3FE9" w:rsidP="00FD3FE9">
      <w:pPr>
        <w:rPr>
          <w:sz w:val="24"/>
          <w:szCs w:val="24"/>
        </w:rPr>
      </w:pPr>
      <w:r w:rsidRPr="00C3673F">
        <w:rPr>
          <w:sz w:val="24"/>
          <w:szCs w:val="24"/>
        </w:rPr>
        <w:t>8. EVALUATION OF FACULTY AND POST-TENURE REVIEW</w:t>
      </w:r>
    </w:p>
    <w:p w14:paraId="237525BA" w14:textId="41ADF61D" w:rsidR="00FD3FE9" w:rsidRPr="00C3673F" w:rsidRDefault="00FD3FE9" w:rsidP="00FD3FE9">
      <w:pPr>
        <w:ind w:left="720"/>
        <w:rPr>
          <w:sz w:val="24"/>
          <w:szCs w:val="24"/>
        </w:rPr>
      </w:pPr>
      <w:r w:rsidRPr="00C3673F">
        <w:rPr>
          <w:sz w:val="24"/>
          <w:szCs w:val="24"/>
        </w:rPr>
        <w:t>It is the policy of the Kansas Board of Regents that merit increases for faculty shall be based on the annual evaluation of their performance as it relates to the mission of the institution, college/school</w:t>
      </w:r>
      <w:r w:rsidR="001C19FC">
        <w:rPr>
          <w:sz w:val="24"/>
          <w:szCs w:val="24"/>
        </w:rPr>
        <w:t>,</w:t>
      </w:r>
      <w:r w:rsidRPr="00C3673F">
        <w:rPr>
          <w:sz w:val="24"/>
          <w:szCs w:val="24"/>
        </w:rPr>
        <w:t xml:space="preserve"> and department. The Board of Regents holds the state university chief executive officers accountable for the development and implementation of evaluation systems in accordance with the following guidelines:</w:t>
      </w:r>
    </w:p>
    <w:p w14:paraId="603513B4" w14:textId="77777777" w:rsidR="00FD3FE9" w:rsidRPr="00C3673F" w:rsidRDefault="00FD3FE9" w:rsidP="00FD3FE9">
      <w:pPr>
        <w:ind w:left="720"/>
        <w:rPr>
          <w:sz w:val="24"/>
          <w:szCs w:val="24"/>
        </w:rPr>
      </w:pPr>
    </w:p>
    <w:p w14:paraId="6F41D700" w14:textId="6E07CC5E" w:rsidR="00FD3FE9" w:rsidRPr="00C3673F" w:rsidRDefault="00C20402" w:rsidP="00FD3FE9">
      <w:pPr>
        <w:ind w:left="720"/>
        <w:rPr>
          <w:sz w:val="24"/>
          <w:szCs w:val="24"/>
        </w:rPr>
      </w:pPr>
      <w:r>
        <w:rPr>
          <w:sz w:val="24"/>
          <w:szCs w:val="24"/>
        </w:rPr>
        <w:t xml:space="preserve">Faculty evaluation criteria, procedures, and instruments shall be developed through faculty participation in each department, college, or division. </w:t>
      </w:r>
      <w:r w:rsidRPr="009F4773">
        <w:rPr>
          <w:color w:val="FF0000"/>
          <w:sz w:val="24"/>
          <w:szCs w:val="24"/>
        </w:rPr>
        <w:t xml:space="preserve">They will be </w:t>
      </w:r>
      <w:r w:rsidR="00204172">
        <w:rPr>
          <w:color w:val="FF0000"/>
          <w:sz w:val="24"/>
          <w:szCs w:val="24"/>
        </w:rPr>
        <w:t>documented</w:t>
      </w:r>
      <w:r w:rsidRPr="009F4773">
        <w:rPr>
          <w:color w:val="FF0000"/>
          <w:sz w:val="24"/>
          <w:szCs w:val="24"/>
        </w:rPr>
        <w:t xml:space="preserve"> in annual work plans </w:t>
      </w:r>
      <w:r w:rsidR="00BB3AA7">
        <w:rPr>
          <w:color w:val="FF0000"/>
          <w:sz w:val="24"/>
          <w:szCs w:val="24"/>
        </w:rPr>
        <w:t xml:space="preserve">so that all will </w:t>
      </w:r>
      <w:r>
        <w:rPr>
          <w:sz w:val="24"/>
          <w:szCs w:val="24"/>
        </w:rPr>
        <w:t>understand performance expectations. Criteria, procedures, and instruments shall be:</w:t>
      </w:r>
    </w:p>
    <w:p w14:paraId="4BE20972" w14:textId="4371F228" w:rsidR="00FD3FE9" w:rsidRPr="00A174A1" w:rsidRDefault="00BB3AA7" w:rsidP="00A174A1">
      <w:pPr>
        <w:pStyle w:val="ListParagraph"/>
        <w:numPr>
          <w:ilvl w:val="0"/>
          <w:numId w:val="1"/>
        </w:numPr>
        <w:rPr>
          <w:sz w:val="24"/>
          <w:szCs w:val="24"/>
        </w:rPr>
      </w:pPr>
      <w:r>
        <w:rPr>
          <w:sz w:val="24"/>
          <w:szCs w:val="24"/>
        </w:rPr>
        <w:t>s</w:t>
      </w:r>
      <w:r w:rsidR="00FD3FE9" w:rsidRPr="00A174A1">
        <w:rPr>
          <w:sz w:val="24"/>
          <w:szCs w:val="24"/>
        </w:rPr>
        <w:t>ufficiently flexible to meet the objectives of the unit.</w:t>
      </w:r>
    </w:p>
    <w:p w14:paraId="39912A5D" w14:textId="5F6F44D2" w:rsidR="00FD3FE9" w:rsidRPr="00C3673F" w:rsidRDefault="00BB3AA7" w:rsidP="00FD3FE9">
      <w:pPr>
        <w:numPr>
          <w:ilvl w:val="0"/>
          <w:numId w:val="1"/>
        </w:numPr>
        <w:rPr>
          <w:sz w:val="24"/>
          <w:szCs w:val="24"/>
        </w:rPr>
      </w:pPr>
      <w:r>
        <w:rPr>
          <w:sz w:val="24"/>
          <w:szCs w:val="24"/>
        </w:rPr>
        <w:t>s</w:t>
      </w:r>
      <w:r w:rsidR="00FD3FE9" w:rsidRPr="00C3673F">
        <w:rPr>
          <w:sz w:val="24"/>
          <w:szCs w:val="24"/>
        </w:rPr>
        <w:t>ensitive to multi-year faculty activities and outcomes.</w:t>
      </w:r>
    </w:p>
    <w:p w14:paraId="1113045C" w14:textId="5F0764BA" w:rsidR="00FD3FE9" w:rsidRPr="00C3673F" w:rsidRDefault="00BB3AA7" w:rsidP="00FD3FE9">
      <w:pPr>
        <w:numPr>
          <w:ilvl w:val="0"/>
          <w:numId w:val="1"/>
        </w:numPr>
        <w:rPr>
          <w:sz w:val="24"/>
          <w:szCs w:val="24"/>
        </w:rPr>
      </w:pPr>
      <w:r>
        <w:rPr>
          <w:sz w:val="24"/>
          <w:szCs w:val="24"/>
        </w:rPr>
        <w:t>a</w:t>
      </w:r>
      <w:r w:rsidR="00FD3FE9" w:rsidRPr="00C3673F">
        <w:rPr>
          <w:sz w:val="24"/>
          <w:szCs w:val="24"/>
        </w:rPr>
        <w:t>pproved by the chief academic officer of each university.</w:t>
      </w:r>
      <w:bookmarkStart w:id="0" w:name="9_FACULTY_OF_THE_YEAR_AWARD"/>
      <w:bookmarkEnd w:id="0"/>
    </w:p>
    <w:p w14:paraId="219AF758" w14:textId="33697686" w:rsidR="00FD3FE9" w:rsidRPr="00D52EEA" w:rsidRDefault="00BB3AA7" w:rsidP="00BB7C9C">
      <w:pPr>
        <w:numPr>
          <w:ilvl w:val="0"/>
          <w:numId w:val="1"/>
        </w:numPr>
        <w:rPr>
          <w:sz w:val="24"/>
          <w:szCs w:val="24"/>
        </w:rPr>
      </w:pPr>
      <w:r>
        <w:rPr>
          <w:sz w:val="24"/>
          <w:szCs w:val="24"/>
        </w:rPr>
        <w:t>c</w:t>
      </w:r>
      <w:r w:rsidR="00FD3FE9" w:rsidRPr="00D52EEA">
        <w:rPr>
          <w:sz w:val="24"/>
          <w:szCs w:val="24"/>
        </w:rPr>
        <w:t xml:space="preserve">ompatible with contemporary research and scholarly literature on faculty evaluation. </w:t>
      </w:r>
      <w:r w:rsidR="00C20402" w:rsidRPr="00D52EEA">
        <w:rPr>
          <w:sz w:val="24"/>
          <w:szCs w:val="24"/>
        </w:rPr>
        <w:t xml:space="preserve">For example, when evaluating research, where research is part of the job duties, the assessment should typically include, but is not limited to, information on the quality of the research, the quantity of research conducted, the media through which findings were shared, </w:t>
      </w:r>
      <w:r w:rsidR="007B6F66">
        <w:rPr>
          <w:sz w:val="24"/>
          <w:szCs w:val="24"/>
        </w:rPr>
        <w:t xml:space="preserve">innovation, partnerships, licensure, </w:t>
      </w:r>
      <w:r w:rsidR="00C20402" w:rsidRPr="00D52EEA">
        <w:rPr>
          <w:sz w:val="24"/>
          <w:szCs w:val="24"/>
        </w:rPr>
        <w:t>and the reception and significance of the research. Similarly, when evaluating teaching, where teaching is part of the job duties, the assessment should generally include, but is not limited to, student ratings obtained anonymously under standard conditions on norm-referenced instruments that account for initial student motivation, evaluation of syllabi, and evaluation of instructional materials.</w:t>
      </w:r>
    </w:p>
    <w:p w14:paraId="0E1B0074" w14:textId="05294795" w:rsidR="00B57DF7" w:rsidRDefault="00FD3FE9" w:rsidP="00B57DF7">
      <w:pPr>
        <w:pStyle w:val="ListParagraph"/>
        <w:numPr>
          <w:ilvl w:val="0"/>
          <w:numId w:val="5"/>
        </w:numPr>
        <w:ind w:left="1440" w:hanging="450"/>
        <w:rPr>
          <w:sz w:val="24"/>
          <w:szCs w:val="24"/>
        </w:rPr>
      </w:pPr>
      <w:r w:rsidRPr="00B57DF7">
        <w:rPr>
          <w:sz w:val="24"/>
          <w:szCs w:val="24"/>
        </w:rPr>
        <w:t>Each state university shall make available to faculty a ratings instrument for securing student ratings of instruction in all courses. The instrument must be norm-referenced and corrected for major sources of bias as demonstrated by research.</w:t>
      </w:r>
    </w:p>
    <w:p w14:paraId="3AAF3B17" w14:textId="3554FA47" w:rsidR="00B57DF7" w:rsidRPr="00E17AC3" w:rsidRDefault="00FD3FE9" w:rsidP="00B57DF7">
      <w:pPr>
        <w:pStyle w:val="ListParagraph"/>
        <w:numPr>
          <w:ilvl w:val="0"/>
          <w:numId w:val="5"/>
        </w:numPr>
        <w:ind w:left="1440" w:hanging="450"/>
        <w:rPr>
          <w:sz w:val="24"/>
          <w:szCs w:val="24"/>
        </w:rPr>
      </w:pPr>
      <w:r w:rsidRPr="00E17AC3">
        <w:rPr>
          <w:sz w:val="24"/>
          <w:szCs w:val="24"/>
        </w:rPr>
        <w:t xml:space="preserve">The evaluation of faculty performance and </w:t>
      </w:r>
      <w:r w:rsidR="00BA3029" w:rsidRPr="009F4773">
        <w:rPr>
          <w:color w:val="FF0000"/>
          <w:sz w:val="24"/>
          <w:szCs w:val="24"/>
        </w:rPr>
        <w:t>future</w:t>
      </w:r>
      <w:r w:rsidR="00BA3029" w:rsidRPr="00E17AC3">
        <w:rPr>
          <w:sz w:val="24"/>
          <w:szCs w:val="24"/>
        </w:rPr>
        <w:t xml:space="preserve"> </w:t>
      </w:r>
      <w:r w:rsidRPr="00E17AC3">
        <w:rPr>
          <w:sz w:val="24"/>
          <w:szCs w:val="24"/>
        </w:rPr>
        <w:t>expectations</w:t>
      </w:r>
      <w:r w:rsidR="00A47445">
        <w:rPr>
          <w:sz w:val="24"/>
          <w:szCs w:val="24"/>
        </w:rPr>
        <w:t>,</w:t>
      </w:r>
      <w:r w:rsidRPr="00E17AC3">
        <w:rPr>
          <w:sz w:val="24"/>
          <w:szCs w:val="24"/>
        </w:rPr>
        <w:t xml:space="preserve"> </w:t>
      </w:r>
      <w:r w:rsidR="00BA3029" w:rsidRPr="009F4773">
        <w:rPr>
          <w:color w:val="FF0000"/>
          <w:sz w:val="24"/>
          <w:szCs w:val="24"/>
        </w:rPr>
        <w:t xml:space="preserve">as detailed in </w:t>
      </w:r>
      <w:r w:rsidR="006F75CF" w:rsidRPr="009F4773">
        <w:rPr>
          <w:color w:val="FF0000"/>
          <w:sz w:val="24"/>
          <w:szCs w:val="24"/>
        </w:rPr>
        <w:t>each faculty member’s</w:t>
      </w:r>
      <w:r w:rsidR="0098065D" w:rsidRPr="009F4773">
        <w:rPr>
          <w:color w:val="FF0000"/>
          <w:sz w:val="24"/>
          <w:szCs w:val="24"/>
        </w:rPr>
        <w:t xml:space="preserve"> </w:t>
      </w:r>
      <w:r w:rsidR="00BA3029" w:rsidRPr="009F4773">
        <w:rPr>
          <w:color w:val="FF0000"/>
          <w:sz w:val="24"/>
          <w:szCs w:val="24"/>
        </w:rPr>
        <w:t>annual work plan</w:t>
      </w:r>
      <w:r w:rsidR="002126CF">
        <w:rPr>
          <w:color w:val="FF0000"/>
          <w:sz w:val="24"/>
          <w:szCs w:val="24"/>
        </w:rPr>
        <w:t xml:space="preserve">, </w:t>
      </w:r>
      <w:r w:rsidR="00936879" w:rsidRPr="00D81B11">
        <w:rPr>
          <w:b/>
          <w:bCs/>
          <w:i/>
          <w:iCs/>
          <w:color w:val="FF0000"/>
          <w:sz w:val="24"/>
          <w:szCs w:val="24"/>
        </w:rPr>
        <w:t xml:space="preserve">[see </w:t>
      </w:r>
      <w:r w:rsidR="005A2ED6" w:rsidRPr="00D81B11">
        <w:rPr>
          <w:b/>
          <w:bCs/>
          <w:i/>
          <w:iCs/>
          <w:color w:val="FF0000"/>
          <w:sz w:val="24"/>
          <w:szCs w:val="24"/>
        </w:rPr>
        <w:t>Workload Policy, 3. Annual Evaluation]</w:t>
      </w:r>
      <w:r w:rsidR="00E17AC3" w:rsidRPr="009F4773">
        <w:rPr>
          <w:color w:val="FF0000"/>
          <w:sz w:val="24"/>
          <w:szCs w:val="24"/>
        </w:rPr>
        <w:t xml:space="preserve"> </w:t>
      </w:r>
      <w:r w:rsidRPr="00E17AC3">
        <w:rPr>
          <w:sz w:val="24"/>
          <w:szCs w:val="24"/>
        </w:rPr>
        <w:t>shall be discussed with them. Documentation recording the sense of the discussion shall be provided to the faculty member.</w:t>
      </w:r>
    </w:p>
    <w:p w14:paraId="2C191A6B" w14:textId="77777777" w:rsidR="00EC2B98" w:rsidRDefault="00FD3FE9" w:rsidP="00EC2B98">
      <w:pPr>
        <w:pStyle w:val="ListParagraph"/>
        <w:numPr>
          <w:ilvl w:val="1"/>
          <w:numId w:val="5"/>
        </w:numPr>
        <w:rPr>
          <w:sz w:val="24"/>
          <w:szCs w:val="24"/>
        </w:rPr>
      </w:pPr>
      <w:r w:rsidRPr="00B57DF7">
        <w:rPr>
          <w:sz w:val="24"/>
          <w:szCs w:val="24"/>
        </w:rPr>
        <w:t>The faculty member shall be given the opportunity to add comments to the documentation as part of the official record before it is considered at the next higher administrative level.</w:t>
      </w:r>
      <w:bookmarkStart w:id="1" w:name="10_LEAVE"/>
      <w:bookmarkEnd w:id="1"/>
    </w:p>
    <w:p w14:paraId="13F09A59" w14:textId="77777777" w:rsidR="00EC2B98" w:rsidRDefault="00FD3FE9" w:rsidP="00EC2B98">
      <w:pPr>
        <w:pStyle w:val="ListParagraph"/>
        <w:numPr>
          <w:ilvl w:val="1"/>
          <w:numId w:val="5"/>
        </w:numPr>
        <w:rPr>
          <w:sz w:val="24"/>
          <w:szCs w:val="24"/>
        </w:rPr>
      </w:pPr>
      <w:r w:rsidRPr="00EC2B98">
        <w:rPr>
          <w:sz w:val="24"/>
          <w:szCs w:val="24"/>
        </w:rPr>
        <w:t>Each state university shall establish a procedure by which faculty who disagree with their evaluation may request a review.</w:t>
      </w:r>
    </w:p>
    <w:p w14:paraId="37645BF7" w14:textId="46DF2F72" w:rsidR="00FD3FE9" w:rsidRPr="00EC2B98" w:rsidRDefault="00FD3FE9" w:rsidP="00EC2B98">
      <w:pPr>
        <w:pStyle w:val="ListParagraph"/>
        <w:numPr>
          <w:ilvl w:val="0"/>
          <w:numId w:val="5"/>
        </w:numPr>
        <w:ind w:left="1440" w:hanging="450"/>
        <w:rPr>
          <w:sz w:val="24"/>
          <w:szCs w:val="24"/>
        </w:rPr>
      </w:pPr>
      <w:r w:rsidRPr="00EC2B98">
        <w:rPr>
          <w:sz w:val="24"/>
          <w:szCs w:val="24"/>
        </w:rPr>
        <w:t xml:space="preserve">Each state university shall implement a plan to supplement its annual faculty evaluation system and shall adopt and implement a post-tenure review plan </w:t>
      </w:r>
      <w:r w:rsidRPr="00EC2B98">
        <w:rPr>
          <w:sz w:val="24"/>
          <w:szCs w:val="24"/>
        </w:rPr>
        <w:lastRenderedPageBreak/>
        <w:t>consistent with this policy. Each plan shall include procedures and strategies for the following</w:t>
      </w:r>
      <w:r w:rsidR="0072030F">
        <w:rPr>
          <w:sz w:val="24"/>
          <w:szCs w:val="24"/>
        </w:rPr>
        <w:t>.</w:t>
      </w:r>
    </w:p>
    <w:p w14:paraId="2F3EBBF9" w14:textId="6D27C5E9" w:rsidR="00AD7190" w:rsidRDefault="00FD3FE9" w:rsidP="00AD7190">
      <w:pPr>
        <w:numPr>
          <w:ilvl w:val="2"/>
          <w:numId w:val="3"/>
        </w:numPr>
        <w:ind w:left="2520"/>
        <w:rPr>
          <w:sz w:val="24"/>
          <w:szCs w:val="24"/>
        </w:rPr>
      </w:pPr>
      <w:r w:rsidRPr="00C3673F">
        <w:rPr>
          <w:sz w:val="24"/>
          <w:szCs w:val="24"/>
        </w:rPr>
        <w:t>T</w:t>
      </w:r>
      <w:r w:rsidR="0072030F">
        <w:rPr>
          <w:sz w:val="24"/>
          <w:szCs w:val="24"/>
        </w:rPr>
        <w:t>he t</w:t>
      </w:r>
      <w:r w:rsidRPr="00C3673F">
        <w:rPr>
          <w:sz w:val="24"/>
          <w:szCs w:val="24"/>
        </w:rPr>
        <w:t>raining of departmental chairpersons in the administration of faculty evaluation.</w:t>
      </w:r>
    </w:p>
    <w:p w14:paraId="104C424D" w14:textId="5DE65C6C" w:rsidR="00AD7190" w:rsidRDefault="0072030F" w:rsidP="00AD7190">
      <w:pPr>
        <w:numPr>
          <w:ilvl w:val="2"/>
          <w:numId w:val="3"/>
        </w:numPr>
        <w:ind w:left="2520"/>
        <w:rPr>
          <w:sz w:val="24"/>
          <w:szCs w:val="24"/>
        </w:rPr>
      </w:pPr>
      <w:r>
        <w:rPr>
          <w:sz w:val="24"/>
          <w:szCs w:val="24"/>
        </w:rPr>
        <w:t>The l</w:t>
      </w:r>
      <w:r w:rsidR="00FD3FE9" w:rsidRPr="00AD7190">
        <w:rPr>
          <w:sz w:val="24"/>
          <w:szCs w:val="24"/>
        </w:rPr>
        <w:t>inkage of the outcomes of faculty evaluation with assistance for renewal and development and, when necessary, reassignment and other personnel actions.</w:t>
      </w:r>
    </w:p>
    <w:p w14:paraId="1835D7E4" w14:textId="75FA980C" w:rsidR="00FD3FE9" w:rsidRPr="00AD7190" w:rsidRDefault="0072030F" w:rsidP="00AD7190">
      <w:pPr>
        <w:numPr>
          <w:ilvl w:val="2"/>
          <w:numId w:val="3"/>
        </w:numPr>
        <w:ind w:left="2520"/>
        <w:rPr>
          <w:sz w:val="24"/>
          <w:szCs w:val="24"/>
        </w:rPr>
      </w:pPr>
      <w:r>
        <w:rPr>
          <w:sz w:val="24"/>
          <w:szCs w:val="24"/>
        </w:rPr>
        <w:t>The t</w:t>
      </w:r>
      <w:r w:rsidR="00FD3FE9" w:rsidRPr="00AD7190">
        <w:rPr>
          <w:sz w:val="24"/>
          <w:szCs w:val="24"/>
        </w:rPr>
        <w:t>raining and supervision of graduate teaching assistants.</w:t>
      </w:r>
    </w:p>
    <w:p w14:paraId="61E5C5F2" w14:textId="77777777" w:rsidR="00B1005A" w:rsidRDefault="00AC4C25" w:rsidP="00AD7190">
      <w:pPr>
        <w:pStyle w:val="ListParagraph"/>
        <w:numPr>
          <w:ilvl w:val="0"/>
          <w:numId w:val="5"/>
        </w:numPr>
        <w:rPr>
          <w:sz w:val="24"/>
          <w:szCs w:val="24"/>
        </w:rPr>
      </w:pPr>
      <w:r>
        <w:rPr>
          <w:sz w:val="24"/>
          <w:szCs w:val="24"/>
        </w:rPr>
        <w:t xml:space="preserve">Regular post-tenure review. </w:t>
      </w:r>
    </w:p>
    <w:p w14:paraId="78EF644D" w14:textId="77777777" w:rsidR="00B1005A" w:rsidRPr="00E24612" w:rsidRDefault="00B1005A" w:rsidP="00B1005A">
      <w:pPr>
        <w:pStyle w:val="ListParagraph"/>
        <w:numPr>
          <w:ilvl w:val="1"/>
          <w:numId w:val="5"/>
        </w:numPr>
        <w:rPr>
          <w:color w:val="FF0000"/>
          <w:sz w:val="24"/>
          <w:szCs w:val="24"/>
        </w:rPr>
      </w:pPr>
      <w:r>
        <w:rPr>
          <w:color w:val="FF0000"/>
          <w:sz w:val="24"/>
          <w:szCs w:val="24"/>
        </w:rPr>
        <w:t>In addition to the annual evaluation required of all full-time and full-time equivalent faculty, t</w:t>
      </w:r>
      <w:r w:rsidRPr="00E24612">
        <w:rPr>
          <w:color w:val="FF0000"/>
          <w:sz w:val="24"/>
          <w:szCs w:val="24"/>
        </w:rPr>
        <w:t>enured faculty members undergo a post-tenure review five years after receiving tenure</w:t>
      </w:r>
      <w:r>
        <w:rPr>
          <w:color w:val="FF0000"/>
          <w:sz w:val="24"/>
          <w:szCs w:val="24"/>
        </w:rPr>
        <w:t xml:space="preserve">. Post-tenure reviews </w:t>
      </w:r>
      <w:r w:rsidRPr="00E24612">
        <w:rPr>
          <w:color w:val="FF0000"/>
          <w:sz w:val="24"/>
          <w:szCs w:val="24"/>
        </w:rPr>
        <w:t>will continue at five-year intervals unless a review for promotion</w:t>
      </w:r>
      <w:r>
        <w:rPr>
          <w:color w:val="FF0000"/>
          <w:sz w:val="24"/>
          <w:szCs w:val="24"/>
        </w:rPr>
        <w:t xml:space="preserve"> is warranted.</w:t>
      </w:r>
    </w:p>
    <w:p w14:paraId="59BD760F" w14:textId="3C03970A" w:rsidR="004A5619" w:rsidRPr="00D006BD" w:rsidRDefault="00AC4C25" w:rsidP="00B1005A">
      <w:pPr>
        <w:pStyle w:val="ListParagraph"/>
        <w:numPr>
          <w:ilvl w:val="1"/>
          <w:numId w:val="5"/>
        </w:numPr>
        <w:rPr>
          <w:color w:val="FF0000"/>
          <w:sz w:val="24"/>
          <w:szCs w:val="24"/>
        </w:rPr>
      </w:pPr>
      <w:r>
        <w:rPr>
          <w:sz w:val="24"/>
          <w:szCs w:val="24"/>
        </w:rPr>
        <w:t xml:space="preserve">The main goal of this process is to help faculty identify opportunities that will allow them to reach their full potential for contributing to the university. Post-tenure reviews aim to provide a broader, long-term perspective compared to the annual review. </w:t>
      </w:r>
    </w:p>
    <w:p w14:paraId="25B21161" w14:textId="7F4B77E0" w:rsidR="009E108A" w:rsidRPr="00D006BD" w:rsidRDefault="00A97FD8" w:rsidP="00B1005A">
      <w:pPr>
        <w:pStyle w:val="ListParagraph"/>
        <w:numPr>
          <w:ilvl w:val="1"/>
          <w:numId w:val="5"/>
        </w:numPr>
        <w:rPr>
          <w:color w:val="FF0000"/>
          <w:sz w:val="24"/>
          <w:szCs w:val="24"/>
        </w:rPr>
      </w:pPr>
      <w:r w:rsidRPr="00D006BD">
        <w:rPr>
          <w:color w:val="FF0000"/>
          <w:sz w:val="24"/>
          <w:szCs w:val="24"/>
        </w:rPr>
        <w:t>A post-tenure review committee</w:t>
      </w:r>
      <w:r w:rsidR="00D006BD" w:rsidRPr="00D006BD">
        <w:rPr>
          <w:color w:val="FF0000"/>
          <w:sz w:val="24"/>
          <w:szCs w:val="24"/>
        </w:rPr>
        <w:t xml:space="preserve"> shall </w:t>
      </w:r>
      <w:r w:rsidR="005B23E1">
        <w:rPr>
          <w:color w:val="FF0000"/>
          <w:sz w:val="24"/>
          <w:szCs w:val="24"/>
        </w:rPr>
        <w:t xml:space="preserve">conduct the review. The post-tenure review committee must consist of at least five </w:t>
      </w:r>
      <w:r w:rsidR="00C07DD9">
        <w:rPr>
          <w:color w:val="FF0000"/>
          <w:sz w:val="24"/>
          <w:szCs w:val="24"/>
        </w:rPr>
        <w:t>individuals</w:t>
      </w:r>
      <w:r w:rsidR="00EF7F5B">
        <w:rPr>
          <w:color w:val="FF0000"/>
          <w:sz w:val="24"/>
          <w:szCs w:val="24"/>
        </w:rPr>
        <w:t xml:space="preserve">, two of whom must be from outside of the </w:t>
      </w:r>
      <w:r w:rsidR="00191FEA">
        <w:rPr>
          <w:color w:val="FF0000"/>
          <w:sz w:val="24"/>
          <w:szCs w:val="24"/>
        </w:rPr>
        <w:t>home department of the f</w:t>
      </w:r>
      <w:r w:rsidR="00EF7F5B">
        <w:rPr>
          <w:color w:val="FF0000"/>
          <w:sz w:val="24"/>
          <w:szCs w:val="24"/>
        </w:rPr>
        <w:t xml:space="preserve">aculty </w:t>
      </w:r>
      <w:r w:rsidR="00191FEA">
        <w:rPr>
          <w:color w:val="FF0000"/>
          <w:sz w:val="24"/>
          <w:szCs w:val="24"/>
        </w:rPr>
        <w:t>member under review.</w:t>
      </w:r>
    </w:p>
    <w:p w14:paraId="58FC33CB" w14:textId="7C0482DC" w:rsidR="00EC6874" w:rsidRDefault="00EC6874" w:rsidP="00EC6874">
      <w:pPr>
        <w:pStyle w:val="ListParagraph"/>
        <w:numPr>
          <w:ilvl w:val="1"/>
          <w:numId w:val="5"/>
        </w:numPr>
        <w:rPr>
          <w:color w:val="FF0000"/>
          <w:sz w:val="24"/>
          <w:szCs w:val="24"/>
        </w:rPr>
      </w:pPr>
      <w:r>
        <w:rPr>
          <w:color w:val="FF0000"/>
          <w:sz w:val="24"/>
          <w:szCs w:val="24"/>
        </w:rPr>
        <w:t xml:space="preserve">Tenured </w:t>
      </w:r>
      <w:r w:rsidRPr="009E2527">
        <w:rPr>
          <w:color w:val="FF0000"/>
          <w:sz w:val="24"/>
          <w:szCs w:val="24"/>
        </w:rPr>
        <w:t>faculty member</w:t>
      </w:r>
      <w:r>
        <w:rPr>
          <w:color w:val="FF0000"/>
          <w:sz w:val="24"/>
          <w:szCs w:val="24"/>
        </w:rPr>
        <w:t xml:space="preserve">s who receive an unsatisfactory post-tenure review evaluation </w:t>
      </w:r>
      <w:r w:rsidRPr="009E2527">
        <w:rPr>
          <w:color w:val="FF0000"/>
          <w:sz w:val="24"/>
          <w:szCs w:val="24"/>
        </w:rPr>
        <w:t xml:space="preserve">will be placed on </w:t>
      </w:r>
      <w:r>
        <w:rPr>
          <w:color w:val="FF0000"/>
          <w:sz w:val="24"/>
          <w:szCs w:val="24"/>
        </w:rPr>
        <w:t xml:space="preserve">a one-year </w:t>
      </w:r>
      <w:r w:rsidRPr="009E2527">
        <w:rPr>
          <w:color w:val="FF0000"/>
          <w:sz w:val="24"/>
          <w:szCs w:val="24"/>
        </w:rPr>
        <w:t>improvement plan</w:t>
      </w:r>
      <w:r>
        <w:rPr>
          <w:color w:val="FF0000"/>
          <w:sz w:val="24"/>
          <w:szCs w:val="24"/>
        </w:rPr>
        <w:t>, developed</w:t>
      </w:r>
      <w:r w:rsidR="00467011">
        <w:rPr>
          <w:color w:val="FF0000"/>
          <w:sz w:val="24"/>
          <w:szCs w:val="24"/>
        </w:rPr>
        <w:t xml:space="preserve"> </w:t>
      </w:r>
      <w:r>
        <w:rPr>
          <w:color w:val="FF0000"/>
          <w:sz w:val="24"/>
          <w:szCs w:val="24"/>
        </w:rPr>
        <w:t xml:space="preserve">by the </w:t>
      </w:r>
      <w:r w:rsidRPr="00A9691B">
        <w:rPr>
          <w:color w:val="FF0000"/>
          <w:sz w:val="24"/>
          <w:szCs w:val="24"/>
        </w:rPr>
        <w:t>chair</w:t>
      </w:r>
      <w:r>
        <w:rPr>
          <w:color w:val="FF0000"/>
          <w:sz w:val="24"/>
          <w:szCs w:val="24"/>
        </w:rPr>
        <w:t xml:space="preserve"> or </w:t>
      </w:r>
      <w:r w:rsidRPr="00A9691B">
        <w:rPr>
          <w:color w:val="FF0000"/>
          <w:sz w:val="24"/>
          <w:szCs w:val="24"/>
        </w:rPr>
        <w:t>direct supervisor</w:t>
      </w:r>
      <w:r>
        <w:rPr>
          <w:color w:val="FF0000"/>
          <w:sz w:val="24"/>
          <w:szCs w:val="24"/>
        </w:rPr>
        <w:t xml:space="preserve"> and </w:t>
      </w:r>
      <w:r w:rsidRPr="00A9691B">
        <w:rPr>
          <w:color w:val="FF0000"/>
          <w:sz w:val="24"/>
          <w:szCs w:val="24"/>
        </w:rPr>
        <w:t xml:space="preserve">approved by the appropriate dean and provost. </w:t>
      </w:r>
      <w:r w:rsidRPr="009E2527">
        <w:rPr>
          <w:color w:val="FF0000"/>
          <w:sz w:val="24"/>
          <w:szCs w:val="24"/>
        </w:rPr>
        <w:t xml:space="preserve">Faculty who </w:t>
      </w:r>
      <w:proofErr w:type="gramStart"/>
      <w:r w:rsidRPr="009E2527">
        <w:rPr>
          <w:color w:val="FF0000"/>
          <w:sz w:val="24"/>
          <w:szCs w:val="24"/>
        </w:rPr>
        <w:t>do</w:t>
      </w:r>
      <w:proofErr w:type="gramEnd"/>
      <w:r w:rsidRPr="009E2527">
        <w:rPr>
          <w:color w:val="FF0000"/>
          <w:sz w:val="24"/>
          <w:szCs w:val="24"/>
        </w:rPr>
        <w:t xml:space="preserve"> not satisfactorily complete the improvement plan are subject to </w:t>
      </w:r>
      <w:r>
        <w:rPr>
          <w:color w:val="FF0000"/>
          <w:sz w:val="24"/>
          <w:szCs w:val="24"/>
        </w:rPr>
        <w:t>dismissal, reassignment, and other personnel actions.</w:t>
      </w:r>
    </w:p>
    <w:p w14:paraId="1E174A4E" w14:textId="6A1B2442" w:rsidR="006E0C1F" w:rsidRPr="009E2527" w:rsidRDefault="006E0C1F" w:rsidP="00EC6874">
      <w:pPr>
        <w:pStyle w:val="ListParagraph"/>
        <w:numPr>
          <w:ilvl w:val="1"/>
          <w:numId w:val="5"/>
        </w:numPr>
        <w:rPr>
          <w:color w:val="FF0000"/>
          <w:sz w:val="24"/>
          <w:szCs w:val="24"/>
        </w:rPr>
      </w:pPr>
      <w:r>
        <w:rPr>
          <w:color w:val="FF0000"/>
          <w:sz w:val="24"/>
          <w:szCs w:val="24"/>
        </w:rPr>
        <w:t xml:space="preserve">The faculty member under review may appeal </w:t>
      </w:r>
      <w:r w:rsidR="00DF544B">
        <w:rPr>
          <w:color w:val="FF0000"/>
          <w:sz w:val="24"/>
          <w:szCs w:val="24"/>
        </w:rPr>
        <w:t xml:space="preserve">the post-tenure review committee’s decision through </w:t>
      </w:r>
      <w:r w:rsidR="00F26732">
        <w:rPr>
          <w:color w:val="FF0000"/>
          <w:sz w:val="24"/>
          <w:szCs w:val="24"/>
        </w:rPr>
        <w:t xml:space="preserve">an </w:t>
      </w:r>
      <w:r w:rsidR="00DF544B">
        <w:rPr>
          <w:color w:val="FF0000"/>
          <w:sz w:val="24"/>
          <w:szCs w:val="24"/>
        </w:rPr>
        <w:t>appropriate university governance</w:t>
      </w:r>
      <w:r w:rsidR="00F26732">
        <w:rPr>
          <w:color w:val="FF0000"/>
          <w:sz w:val="24"/>
          <w:szCs w:val="24"/>
        </w:rPr>
        <w:t xml:space="preserve"> structure.</w:t>
      </w:r>
    </w:p>
    <w:p w14:paraId="44A861EC" w14:textId="77777777" w:rsidR="00EC2B98" w:rsidRPr="0042217C" w:rsidRDefault="005C77F5" w:rsidP="00EC2B98">
      <w:pPr>
        <w:pStyle w:val="ListParagraph"/>
        <w:numPr>
          <w:ilvl w:val="0"/>
          <w:numId w:val="5"/>
        </w:numPr>
        <w:ind w:left="1440" w:hanging="450"/>
        <w:rPr>
          <w:color w:val="FF0000"/>
          <w:sz w:val="24"/>
          <w:szCs w:val="24"/>
        </w:rPr>
      </w:pPr>
      <w:r w:rsidRPr="0042217C">
        <w:rPr>
          <w:color w:val="FF0000"/>
          <w:sz w:val="24"/>
          <w:szCs w:val="24"/>
        </w:rPr>
        <w:t xml:space="preserve">Annual Reporting. </w:t>
      </w:r>
    </w:p>
    <w:p w14:paraId="164C1706" w14:textId="138A7793" w:rsidR="000B1270" w:rsidRPr="003E5AED" w:rsidRDefault="00D52797" w:rsidP="003E5AED">
      <w:pPr>
        <w:pStyle w:val="ListParagraph"/>
        <w:numPr>
          <w:ilvl w:val="1"/>
          <w:numId w:val="5"/>
        </w:numPr>
        <w:ind w:left="2160" w:hanging="630"/>
        <w:rPr>
          <w:color w:val="FF0000"/>
          <w:sz w:val="24"/>
          <w:szCs w:val="24"/>
        </w:rPr>
      </w:pPr>
      <w:r w:rsidRPr="0042217C">
        <w:rPr>
          <w:color w:val="FF0000"/>
          <w:sz w:val="24"/>
          <w:szCs w:val="24"/>
        </w:rPr>
        <w:t xml:space="preserve">Each university must submit an annual post-tenure review report to the Board’s vice president for academic affairs. The report should include, at a minimum, data on the number of faculty subject to a post-tenure review, those placed on an improvement plan, </w:t>
      </w:r>
      <w:r w:rsidR="004844D8">
        <w:rPr>
          <w:color w:val="FF0000"/>
          <w:sz w:val="24"/>
          <w:szCs w:val="24"/>
        </w:rPr>
        <w:t xml:space="preserve">dismissals resulting from </w:t>
      </w:r>
      <w:r w:rsidRPr="0042217C">
        <w:rPr>
          <w:color w:val="FF0000"/>
          <w:sz w:val="24"/>
          <w:szCs w:val="24"/>
        </w:rPr>
        <w:t>post-tenure review</w:t>
      </w:r>
      <w:r w:rsidR="00703FD7" w:rsidRPr="0042217C">
        <w:rPr>
          <w:color w:val="FF0000"/>
          <w:sz w:val="24"/>
          <w:szCs w:val="24"/>
        </w:rPr>
        <w:t xml:space="preserve">, </w:t>
      </w:r>
      <w:r w:rsidR="004A00DE" w:rsidRPr="0042217C">
        <w:rPr>
          <w:color w:val="FF0000"/>
          <w:sz w:val="24"/>
          <w:szCs w:val="24"/>
        </w:rPr>
        <w:t>and</w:t>
      </w:r>
      <w:r w:rsidRPr="0042217C">
        <w:rPr>
          <w:color w:val="FF0000"/>
          <w:sz w:val="24"/>
          <w:szCs w:val="24"/>
        </w:rPr>
        <w:t xml:space="preserve"> other faculty departures not directly related to a post-tenure review.</w:t>
      </w:r>
    </w:p>
    <w:sectPr w:rsidR="000B1270" w:rsidRPr="003E5A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CEA66" w14:textId="77777777" w:rsidR="00965817" w:rsidRDefault="00965817" w:rsidP="00225877">
      <w:r>
        <w:separator/>
      </w:r>
    </w:p>
  </w:endnote>
  <w:endnote w:type="continuationSeparator" w:id="0">
    <w:p w14:paraId="4225AF1B" w14:textId="77777777" w:rsidR="00965817" w:rsidRDefault="00965817" w:rsidP="0022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9F5D5" w14:textId="77777777" w:rsidR="00965817" w:rsidRDefault="00965817" w:rsidP="00225877">
      <w:r>
        <w:separator/>
      </w:r>
    </w:p>
  </w:footnote>
  <w:footnote w:type="continuationSeparator" w:id="0">
    <w:p w14:paraId="4C6C6FB6" w14:textId="77777777" w:rsidR="00965817" w:rsidRDefault="00965817" w:rsidP="00225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1947" w14:textId="26F95783" w:rsidR="00225877" w:rsidRDefault="00BB7F35" w:rsidP="00225877">
    <w:pPr>
      <w:pStyle w:val="Header"/>
      <w:rPr>
        <w:sz w:val="16"/>
        <w:szCs w:val="16"/>
      </w:rPr>
    </w:pPr>
    <w:sdt>
      <w:sdtPr>
        <w:id w:val="868873830"/>
        <w:docPartObj>
          <w:docPartGallery w:val="Watermarks"/>
          <w:docPartUnique/>
        </w:docPartObj>
      </w:sdtPr>
      <w:sdtEndPr/>
      <w:sdtContent>
        <w:r>
          <w:rPr>
            <w:noProof/>
          </w:rPr>
          <w:pict w14:anchorId="34746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25877" w:rsidRPr="006E57A2">
      <w:rPr>
        <w:sz w:val="16"/>
        <w:szCs w:val="16"/>
      </w:rPr>
      <w:t xml:space="preserve">KBOR </w:t>
    </w:r>
    <w:r w:rsidR="00225877">
      <w:rPr>
        <w:sz w:val="16"/>
        <w:szCs w:val="16"/>
      </w:rPr>
      <w:t>P</w:t>
    </w:r>
    <w:r w:rsidR="00074601">
      <w:rPr>
        <w:sz w:val="16"/>
        <w:szCs w:val="16"/>
      </w:rPr>
      <w:t xml:space="preserve">ost-Tenure Review </w:t>
    </w:r>
    <w:r w:rsidR="00225877" w:rsidRPr="006E57A2">
      <w:rPr>
        <w:sz w:val="16"/>
        <w:szCs w:val="16"/>
      </w:rPr>
      <w:t xml:space="preserve">Policy </w:t>
    </w:r>
    <w:r w:rsidR="00225877">
      <w:rPr>
        <w:sz w:val="16"/>
        <w:szCs w:val="16"/>
      </w:rPr>
      <w:t xml:space="preserve">Draft </w:t>
    </w:r>
    <w:r w:rsidR="00225877" w:rsidRPr="006E57A2">
      <w:rPr>
        <w:sz w:val="16"/>
        <w:szCs w:val="16"/>
      </w:rPr>
      <w:t>Revision</w:t>
    </w:r>
    <w:r w:rsidR="00225877">
      <w:rPr>
        <w:sz w:val="16"/>
        <w:szCs w:val="16"/>
      </w:rPr>
      <w:t>s</w:t>
    </w:r>
    <w:r w:rsidR="00225877">
      <w:rPr>
        <w:sz w:val="16"/>
        <w:szCs w:val="16"/>
      </w:rPr>
      <w:tab/>
    </w:r>
    <w:r w:rsidR="00225877" w:rsidRPr="006E57A2">
      <w:rPr>
        <w:sz w:val="16"/>
        <w:szCs w:val="16"/>
      </w:rPr>
      <w:t>v.1.</w:t>
    </w:r>
    <w:r w:rsidR="00E43AB5">
      <w:rPr>
        <w:sz w:val="16"/>
        <w:szCs w:val="16"/>
      </w:rPr>
      <w:t>3</w:t>
    </w:r>
    <w:r w:rsidR="001B7CF7">
      <w:rPr>
        <w:sz w:val="16"/>
        <w:szCs w:val="16"/>
      </w:rPr>
      <w:tab/>
    </w:r>
    <w:r w:rsidR="002C6426">
      <w:rPr>
        <w:sz w:val="16"/>
        <w:szCs w:val="16"/>
      </w:rPr>
      <w:t>November 10</w:t>
    </w:r>
    <w:r w:rsidR="00225877" w:rsidRPr="006E57A2">
      <w:rPr>
        <w:sz w:val="16"/>
        <w:szCs w:val="16"/>
      </w:rPr>
      <w:t>, 2025</w:t>
    </w:r>
  </w:p>
  <w:p w14:paraId="2935B0AE" w14:textId="77777777" w:rsidR="00225877" w:rsidRPr="006E57A2" w:rsidRDefault="00225877" w:rsidP="00225877">
    <w:pPr>
      <w:pStyle w:val="Header"/>
      <w:jc w:val="center"/>
      <w:rPr>
        <w:sz w:val="16"/>
        <w:szCs w:val="16"/>
      </w:rPr>
    </w:pPr>
    <w:r>
      <w:rPr>
        <w:sz w:val="16"/>
        <w:szCs w:val="16"/>
      </w:rPr>
      <w:t>WORKING DOCUMENT FOR INTERNAL USE ONLY</w:t>
    </w:r>
  </w:p>
  <w:p w14:paraId="5FF2CD27" w14:textId="77777777" w:rsidR="00225877" w:rsidRDefault="0022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8"/>
    <w:multiLevelType w:val="multilevel"/>
    <w:tmpl w:val="008686F6"/>
    <w:lvl w:ilvl="0">
      <w:start w:val="2"/>
      <w:numFmt w:val="lowerLetter"/>
      <w:lvlText w:val="%1"/>
      <w:lvlJc w:val="left"/>
      <w:pPr>
        <w:ind w:left="1439" w:hanging="447"/>
      </w:pPr>
      <w:rPr>
        <w:rFonts w:ascii="Times New Roman" w:hAnsi="Times New Roman" w:cs="Times New Roman"/>
        <w:b w:val="0"/>
        <w:bCs w:val="0"/>
        <w:i w:val="0"/>
        <w:iCs w:val="0"/>
        <w:spacing w:val="0"/>
        <w:w w:val="99"/>
        <w:sz w:val="20"/>
        <w:szCs w:val="20"/>
      </w:rPr>
    </w:lvl>
    <w:lvl w:ilvl="1">
      <w:start w:val="1"/>
      <w:numFmt w:val="lowerRoman"/>
      <w:lvlText w:val="%2"/>
      <w:lvlJc w:val="left"/>
      <w:pPr>
        <w:ind w:left="1799" w:hanging="360"/>
      </w:pPr>
      <w:rPr>
        <w:rFonts w:ascii="Times New Roman" w:hAnsi="Times New Roman" w:cs="Times New Roman"/>
        <w:b w:val="0"/>
        <w:bCs w:val="0"/>
        <w:i w:val="0"/>
        <w:iCs w:val="0"/>
        <w:spacing w:val="0"/>
        <w:w w:val="99"/>
        <w:sz w:val="20"/>
        <w:szCs w:val="20"/>
      </w:rPr>
    </w:lvl>
    <w:lvl w:ilvl="2">
      <w:start w:val="7"/>
      <w:numFmt w:val="lowerRoman"/>
      <w:lvlText w:val="%3."/>
      <w:lvlJc w:val="left"/>
      <w:pPr>
        <w:ind w:left="2840" w:hanging="360"/>
      </w:pPr>
      <w:rPr>
        <w:rFonts w:hint="default"/>
      </w:rPr>
    </w:lvl>
    <w:lvl w:ilvl="3">
      <w:numFmt w:val="bullet"/>
      <w:lvlText w:val="•"/>
      <w:lvlJc w:val="left"/>
      <w:pPr>
        <w:ind w:left="3880" w:hanging="360"/>
      </w:pPr>
    </w:lvl>
    <w:lvl w:ilvl="4">
      <w:numFmt w:val="bullet"/>
      <w:lvlText w:val="•"/>
      <w:lvlJc w:val="left"/>
      <w:pPr>
        <w:ind w:left="4920" w:hanging="360"/>
      </w:pPr>
    </w:lvl>
    <w:lvl w:ilvl="5">
      <w:numFmt w:val="bullet"/>
      <w:lvlText w:val="•"/>
      <w:lvlJc w:val="left"/>
      <w:pPr>
        <w:ind w:left="5960" w:hanging="360"/>
      </w:pPr>
    </w:lvl>
    <w:lvl w:ilvl="6">
      <w:numFmt w:val="bullet"/>
      <w:lvlText w:val="•"/>
      <w:lvlJc w:val="left"/>
      <w:pPr>
        <w:ind w:left="7000" w:hanging="360"/>
      </w:pPr>
    </w:lvl>
    <w:lvl w:ilvl="7">
      <w:numFmt w:val="bullet"/>
      <w:lvlText w:val="•"/>
      <w:lvlJc w:val="left"/>
      <w:pPr>
        <w:ind w:left="8040" w:hanging="360"/>
      </w:pPr>
    </w:lvl>
    <w:lvl w:ilvl="8">
      <w:numFmt w:val="bullet"/>
      <w:lvlText w:val="•"/>
      <w:lvlJc w:val="left"/>
      <w:pPr>
        <w:ind w:left="9080" w:hanging="360"/>
      </w:pPr>
    </w:lvl>
  </w:abstractNum>
  <w:abstractNum w:abstractNumId="1" w15:restartNumberingAfterBreak="0">
    <w:nsid w:val="00000426"/>
    <w:multiLevelType w:val="multilevel"/>
    <w:tmpl w:val="4EBC01E4"/>
    <w:lvl w:ilvl="0">
      <w:start w:val="1"/>
      <w:numFmt w:val="lowerRoman"/>
      <w:lvlText w:val="%1."/>
      <w:lvlJc w:val="left"/>
      <w:pPr>
        <w:ind w:left="1798" w:hanging="360"/>
      </w:pPr>
      <w:rPr>
        <w:rFonts w:ascii="Calibri" w:eastAsia="Calibri" w:hAnsi="Calibri" w:cs="Times New Roman"/>
        <w:b w:val="0"/>
        <w:bCs w:val="0"/>
        <w:i w:val="0"/>
        <w:iCs w:val="0"/>
        <w:spacing w:val="0"/>
        <w:w w:val="99"/>
        <w:sz w:val="20"/>
        <w:szCs w:val="20"/>
      </w:rPr>
    </w:lvl>
    <w:lvl w:ilvl="1">
      <w:numFmt w:val="bullet"/>
      <w:lvlText w:val="•"/>
      <w:lvlJc w:val="left"/>
      <w:pPr>
        <w:ind w:left="2736" w:hanging="360"/>
      </w:pPr>
    </w:lvl>
    <w:lvl w:ilvl="2">
      <w:numFmt w:val="bullet"/>
      <w:lvlText w:val="•"/>
      <w:lvlJc w:val="left"/>
      <w:pPr>
        <w:ind w:left="3672" w:hanging="360"/>
      </w:pPr>
    </w:lvl>
    <w:lvl w:ilvl="3">
      <w:numFmt w:val="bullet"/>
      <w:lvlText w:val="•"/>
      <w:lvlJc w:val="left"/>
      <w:pPr>
        <w:ind w:left="4608" w:hanging="360"/>
      </w:pPr>
    </w:lvl>
    <w:lvl w:ilvl="4">
      <w:numFmt w:val="bullet"/>
      <w:lvlText w:val="•"/>
      <w:lvlJc w:val="left"/>
      <w:pPr>
        <w:ind w:left="5544" w:hanging="360"/>
      </w:pPr>
    </w:lvl>
    <w:lvl w:ilvl="5">
      <w:numFmt w:val="bullet"/>
      <w:lvlText w:val="•"/>
      <w:lvlJc w:val="left"/>
      <w:pPr>
        <w:ind w:left="6480" w:hanging="360"/>
      </w:pPr>
    </w:lvl>
    <w:lvl w:ilvl="6">
      <w:numFmt w:val="bullet"/>
      <w:lvlText w:val="•"/>
      <w:lvlJc w:val="left"/>
      <w:pPr>
        <w:ind w:left="7416" w:hanging="360"/>
      </w:pPr>
    </w:lvl>
    <w:lvl w:ilvl="7">
      <w:numFmt w:val="bullet"/>
      <w:lvlText w:val="•"/>
      <w:lvlJc w:val="left"/>
      <w:pPr>
        <w:ind w:left="8352" w:hanging="360"/>
      </w:pPr>
    </w:lvl>
    <w:lvl w:ilvl="8">
      <w:numFmt w:val="bullet"/>
      <w:lvlText w:val="•"/>
      <w:lvlJc w:val="left"/>
      <w:pPr>
        <w:ind w:left="9288" w:hanging="360"/>
      </w:pPr>
    </w:lvl>
  </w:abstractNum>
  <w:abstractNum w:abstractNumId="2" w15:restartNumberingAfterBreak="0">
    <w:nsid w:val="40360A85"/>
    <w:multiLevelType w:val="hybridMultilevel"/>
    <w:tmpl w:val="D884B8A2"/>
    <w:lvl w:ilvl="0" w:tplc="B12ED940">
      <w:start w:val="2"/>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E63F86"/>
    <w:multiLevelType w:val="multilevel"/>
    <w:tmpl w:val="5440A61C"/>
    <w:lvl w:ilvl="0">
      <w:start w:val="4"/>
      <w:numFmt w:val="lowerLetter"/>
      <w:lvlText w:val="%1"/>
      <w:lvlJc w:val="left"/>
      <w:pPr>
        <w:ind w:left="1439" w:hanging="447"/>
      </w:pPr>
      <w:rPr>
        <w:rFonts w:ascii="Times New Roman" w:hAnsi="Times New Roman" w:cs="Times New Roman" w:hint="default"/>
        <w:b w:val="0"/>
        <w:bCs w:val="0"/>
        <w:i w:val="0"/>
        <w:iCs w:val="0"/>
        <w:spacing w:val="0"/>
        <w:w w:val="99"/>
        <w:sz w:val="20"/>
        <w:szCs w:val="20"/>
      </w:rPr>
    </w:lvl>
    <w:lvl w:ilvl="1">
      <w:start w:val="1"/>
      <w:numFmt w:val="lowerRoman"/>
      <w:lvlText w:val="%2"/>
      <w:lvlJc w:val="left"/>
      <w:pPr>
        <w:ind w:left="1799" w:hanging="360"/>
      </w:pPr>
      <w:rPr>
        <w:rFonts w:ascii="Times New Roman" w:hAnsi="Times New Roman" w:cs="Times New Roman" w:hint="default"/>
        <w:b w:val="0"/>
        <w:bCs w:val="0"/>
        <w:i w:val="0"/>
        <w:iCs w:val="0"/>
        <w:spacing w:val="0"/>
        <w:w w:val="99"/>
        <w:sz w:val="20"/>
        <w:szCs w:val="20"/>
      </w:rPr>
    </w:lvl>
    <w:lvl w:ilvl="2">
      <w:start w:val="1"/>
      <w:numFmt w:val="lowerRoman"/>
      <w:lvlText w:val="%3."/>
      <w:lvlJc w:val="left"/>
      <w:pPr>
        <w:ind w:left="2840" w:hanging="360"/>
      </w:pPr>
      <w:rPr>
        <w:rFonts w:hint="default"/>
      </w:rPr>
    </w:lvl>
    <w:lvl w:ilvl="3">
      <w:numFmt w:val="bullet"/>
      <w:lvlText w:val="•"/>
      <w:lvlJc w:val="left"/>
      <w:pPr>
        <w:ind w:left="3880" w:hanging="360"/>
      </w:pPr>
      <w:rPr>
        <w:rFonts w:hint="default"/>
      </w:rPr>
    </w:lvl>
    <w:lvl w:ilvl="4">
      <w:numFmt w:val="bullet"/>
      <w:lvlText w:val="•"/>
      <w:lvlJc w:val="left"/>
      <w:pPr>
        <w:ind w:left="4920" w:hanging="360"/>
      </w:pPr>
      <w:rPr>
        <w:rFonts w:hint="default"/>
      </w:rPr>
    </w:lvl>
    <w:lvl w:ilvl="5">
      <w:numFmt w:val="bullet"/>
      <w:lvlText w:val="•"/>
      <w:lvlJc w:val="left"/>
      <w:pPr>
        <w:ind w:left="5960" w:hanging="360"/>
      </w:pPr>
      <w:rPr>
        <w:rFonts w:hint="default"/>
      </w:rPr>
    </w:lvl>
    <w:lvl w:ilvl="6">
      <w:numFmt w:val="bullet"/>
      <w:lvlText w:val="•"/>
      <w:lvlJc w:val="left"/>
      <w:pPr>
        <w:ind w:left="7000" w:hanging="360"/>
      </w:pPr>
      <w:rPr>
        <w:rFonts w:hint="default"/>
      </w:rPr>
    </w:lvl>
    <w:lvl w:ilvl="7">
      <w:numFmt w:val="bullet"/>
      <w:lvlText w:val="•"/>
      <w:lvlJc w:val="left"/>
      <w:pPr>
        <w:ind w:left="8040" w:hanging="360"/>
      </w:pPr>
      <w:rPr>
        <w:rFonts w:hint="default"/>
      </w:rPr>
    </w:lvl>
    <w:lvl w:ilvl="8">
      <w:numFmt w:val="bullet"/>
      <w:lvlText w:val="•"/>
      <w:lvlJc w:val="left"/>
      <w:pPr>
        <w:ind w:left="9080" w:hanging="360"/>
      </w:pPr>
      <w:rPr>
        <w:rFonts w:hint="default"/>
      </w:rPr>
    </w:lvl>
  </w:abstractNum>
  <w:abstractNum w:abstractNumId="4" w15:restartNumberingAfterBreak="0">
    <w:nsid w:val="679F0713"/>
    <w:multiLevelType w:val="hybridMultilevel"/>
    <w:tmpl w:val="2D546B6C"/>
    <w:lvl w:ilvl="0" w:tplc="75526AC8">
      <w:start w:val="2"/>
      <w:numFmt w:val="lowerLetter"/>
      <w:lvlText w:val="%1."/>
      <w:lvlJc w:val="left"/>
      <w:pPr>
        <w:ind w:left="1798" w:hanging="360"/>
      </w:pPr>
      <w:rPr>
        <w:rFonts w:hint="default"/>
      </w:rPr>
    </w:lvl>
    <w:lvl w:ilvl="1" w:tplc="0409001B">
      <w:start w:val="1"/>
      <w:numFmt w:val="lowerRoman"/>
      <w:lvlText w:val="%2."/>
      <w:lvlJc w:val="right"/>
      <w:pPr>
        <w:ind w:left="2518" w:hanging="360"/>
      </w:pPr>
    </w:lvl>
    <w:lvl w:ilvl="2" w:tplc="0409001B">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num w:numId="1" w16cid:durableId="37053471">
    <w:abstractNumId w:val="1"/>
  </w:num>
  <w:num w:numId="2" w16cid:durableId="1958750874">
    <w:abstractNumId w:val="0"/>
  </w:num>
  <w:num w:numId="3" w16cid:durableId="418065502">
    <w:abstractNumId w:val="3"/>
  </w:num>
  <w:num w:numId="4" w16cid:durableId="939994140">
    <w:abstractNumId w:val="2"/>
  </w:num>
  <w:num w:numId="5" w16cid:durableId="54545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E9"/>
    <w:rsid w:val="000164B7"/>
    <w:rsid w:val="00021BE2"/>
    <w:rsid w:val="00045EC7"/>
    <w:rsid w:val="00074601"/>
    <w:rsid w:val="000908C6"/>
    <w:rsid w:val="000B1270"/>
    <w:rsid w:val="000D1E51"/>
    <w:rsid w:val="000E39A4"/>
    <w:rsid w:val="000E508C"/>
    <w:rsid w:val="00156C1B"/>
    <w:rsid w:val="001856DD"/>
    <w:rsid w:val="00191FEA"/>
    <w:rsid w:val="001A5643"/>
    <w:rsid w:val="001B7CF7"/>
    <w:rsid w:val="001C19FC"/>
    <w:rsid w:val="001D48F2"/>
    <w:rsid w:val="001E16F8"/>
    <w:rsid w:val="00204172"/>
    <w:rsid w:val="002126CF"/>
    <w:rsid w:val="002156CC"/>
    <w:rsid w:val="00224ED7"/>
    <w:rsid w:val="00225877"/>
    <w:rsid w:val="00230C9B"/>
    <w:rsid w:val="0027386F"/>
    <w:rsid w:val="002930D4"/>
    <w:rsid w:val="00296FB4"/>
    <w:rsid w:val="002B26D6"/>
    <w:rsid w:val="002C25AC"/>
    <w:rsid w:val="002C6426"/>
    <w:rsid w:val="00300A9C"/>
    <w:rsid w:val="00315084"/>
    <w:rsid w:val="0034724D"/>
    <w:rsid w:val="00351B4A"/>
    <w:rsid w:val="00354015"/>
    <w:rsid w:val="003944FD"/>
    <w:rsid w:val="003E1845"/>
    <w:rsid w:val="003E1C4E"/>
    <w:rsid w:val="003E5AED"/>
    <w:rsid w:val="0042217C"/>
    <w:rsid w:val="00441501"/>
    <w:rsid w:val="00460AD8"/>
    <w:rsid w:val="00467011"/>
    <w:rsid w:val="00475CAC"/>
    <w:rsid w:val="00476D6A"/>
    <w:rsid w:val="004844D8"/>
    <w:rsid w:val="004A00DE"/>
    <w:rsid w:val="004A5619"/>
    <w:rsid w:val="004A78E5"/>
    <w:rsid w:val="004A7B6C"/>
    <w:rsid w:val="004C1A96"/>
    <w:rsid w:val="004C3FF7"/>
    <w:rsid w:val="005305D9"/>
    <w:rsid w:val="00553816"/>
    <w:rsid w:val="0057345C"/>
    <w:rsid w:val="0059579F"/>
    <w:rsid w:val="005A2ED6"/>
    <w:rsid w:val="005B23E1"/>
    <w:rsid w:val="005B770E"/>
    <w:rsid w:val="005C77F5"/>
    <w:rsid w:val="005F2228"/>
    <w:rsid w:val="00645BB5"/>
    <w:rsid w:val="00675C4A"/>
    <w:rsid w:val="006855CA"/>
    <w:rsid w:val="006B713B"/>
    <w:rsid w:val="006E0C1F"/>
    <w:rsid w:val="006E57D9"/>
    <w:rsid w:val="006F75CF"/>
    <w:rsid w:val="00703FD7"/>
    <w:rsid w:val="0072030F"/>
    <w:rsid w:val="007264BE"/>
    <w:rsid w:val="0073737D"/>
    <w:rsid w:val="007477FC"/>
    <w:rsid w:val="0077004F"/>
    <w:rsid w:val="007B6F66"/>
    <w:rsid w:val="007C72CB"/>
    <w:rsid w:val="007D3E5A"/>
    <w:rsid w:val="007D6811"/>
    <w:rsid w:val="007F3258"/>
    <w:rsid w:val="00825A65"/>
    <w:rsid w:val="00852010"/>
    <w:rsid w:val="008658DD"/>
    <w:rsid w:val="008D17AC"/>
    <w:rsid w:val="008F20F5"/>
    <w:rsid w:val="00906C2F"/>
    <w:rsid w:val="009119F0"/>
    <w:rsid w:val="00936879"/>
    <w:rsid w:val="00940356"/>
    <w:rsid w:val="00965817"/>
    <w:rsid w:val="00971FF1"/>
    <w:rsid w:val="0098065D"/>
    <w:rsid w:val="00983579"/>
    <w:rsid w:val="009B349C"/>
    <w:rsid w:val="009E108A"/>
    <w:rsid w:val="009E2527"/>
    <w:rsid w:val="009F4773"/>
    <w:rsid w:val="00A171BB"/>
    <w:rsid w:val="00A174A1"/>
    <w:rsid w:val="00A3752C"/>
    <w:rsid w:val="00A47445"/>
    <w:rsid w:val="00A66548"/>
    <w:rsid w:val="00A96EFA"/>
    <w:rsid w:val="00A97FD8"/>
    <w:rsid w:val="00AA4732"/>
    <w:rsid w:val="00AC4C25"/>
    <w:rsid w:val="00AC506D"/>
    <w:rsid w:val="00AD7190"/>
    <w:rsid w:val="00B1005A"/>
    <w:rsid w:val="00B2145F"/>
    <w:rsid w:val="00B370BC"/>
    <w:rsid w:val="00B57DF7"/>
    <w:rsid w:val="00B935A3"/>
    <w:rsid w:val="00BA029F"/>
    <w:rsid w:val="00BA3029"/>
    <w:rsid w:val="00BB3AA7"/>
    <w:rsid w:val="00BB7C9C"/>
    <w:rsid w:val="00BB7F35"/>
    <w:rsid w:val="00BE1882"/>
    <w:rsid w:val="00C07DD9"/>
    <w:rsid w:val="00C20402"/>
    <w:rsid w:val="00C3673F"/>
    <w:rsid w:val="00C36A72"/>
    <w:rsid w:val="00C53362"/>
    <w:rsid w:val="00C92EFA"/>
    <w:rsid w:val="00CA5A62"/>
    <w:rsid w:val="00CA622C"/>
    <w:rsid w:val="00CA6866"/>
    <w:rsid w:val="00CB6A24"/>
    <w:rsid w:val="00D006BD"/>
    <w:rsid w:val="00D52797"/>
    <w:rsid w:val="00D52EEA"/>
    <w:rsid w:val="00D81B11"/>
    <w:rsid w:val="00D8391F"/>
    <w:rsid w:val="00DE63D0"/>
    <w:rsid w:val="00DE7AFA"/>
    <w:rsid w:val="00DF544B"/>
    <w:rsid w:val="00E06905"/>
    <w:rsid w:val="00E17AC3"/>
    <w:rsid w:val="00E22DDE"/>
    <w:rsid w:val="00E24612"/>
    <w:rsid w:val="00E43AB5"/>
    <w:rsid w:val="00E44BC1"/>
    <w:rsid w:val="00E6361C"/>
    <w:rsid w:val="00E8534D"/>
    <w:rsid w:val="00EC2B98"/>
    <w:rsid w:val="00EC6874"/>
    <w:rsid w:val="00ED0762"/>
    <w:rsid w:val="00ED3174"/>
    <w:rsid w:val="00EE4DA8"/>
    <w:rsid w:val="00EF7F5B"/>
    <w:rsid w:val="00F12DCF"/>
    <w:rsid w:val="00F131FC"/>
    <w:rsid w:val="00F26732"/>
    <w:rsid w:val="00F356D7"/>
    <w:rsid w:val="00F40ACA"/>
    <w:rsid w:val="00F84933"/>
    <w:rsid w:val="00FA7CDD"/>
    <w:rsid w:val="00FB0F98"/>
    <w:rsid w:val="00FC41C2"/>
    <w:rsid w:val="00FD3FE9"/>
    <w:rsid w:val="00FE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7E48B"/>
  <w15:chartTrackingRefBased/>
  <w15:docId w15:val="{6C474BFF-5721-414E-B11D-FD1F4219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E9"/>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D3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3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3F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3F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3F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3F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F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F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F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3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3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3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3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3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FE9"/>
    <w:rPr>
      <w:rFonts w:eastAsiaTheme="majorEastAsia" w:cstheme="majorBidi"/>
      <w:color w:val="272727" w:themeColor="text1" w:themeTint="D8"/>
    </w:rPr>
  </w:style>
  <w:style w:type="paragraph" w:styleId="Title">
    <w:name w:val="Title"/>
    <w:basedOn w:val="Normal"/>
    <w:next w:val="Normal"/>
    <w:link w:val="TitleChar"/>
    <w:uiPriority w:val="10"/>
    <w:qFormat/>
    <w:rsid w:val="00FD3F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FE9"/>
    <w:pPr>
      <w:spacing w:before="160"/>
      <w:jc w:val="center"/>
    </w:pPr>
    <w:rPr>
      <w:i/>
      <w:iCs/>
      <w:color w:val="404040" w:themeColor="text1" w:themeTint="BF"/>
    </w:rPr>
  </w:style>
  <w:style w:type="character" w:customStyle="1" w:styleId="QuoteChar">
    <w:name w:val="Quote Char"/>
    <w:basedOn w:val="DefaultParagraphFont"/>
    <w:link w:val="Quote"/>
    <w:uiPriority w:val="29"/>
    <w:rsid w:val="00FD3FE9"/>
    <w:rPr>
      <w:i/>
      <w:iCs/>
      <w:color w:val="404040" w:themeColor="text1" w:themeTint="BF"/>
    </w:rPr>
  </w:style>
  <w:style w:type="paragraph" w:styleId="ListParagraph">
    <w:name w:val="List Paragraph"/>
    <w:basedOn w:val="Normal"/>
    <w:uiPriority w:val="34"/>
    <w:qFormat/>
    <w:rsid w:val="00FD3FE9"/>
    <w:pPr>
      <w:ind w:left="720"/>
      <w:contextualSpacing/>
    </w:pPr>
  </w:style>
  <w:style w:type="character" w:styleId="IntenseEmphasis">
    <w:name w:val="Intense Emphasis"/>
    <w:basedOn w:val="DefaultParagraphFont"/>
    <w:uiPriority w:val="21"/>
    <w:qFormat/>
    <w:rsid w:val="00FD3FE9"/>
    <w:rPr>
      <w:i/>
      <w:iCs/>
      <w:color w:val="2F5496" w:themeColor="accent1" w:themeShade="BF"/>
    </w:rPr>
  </w:style>
  <w:style w:type="paragraph" w:styleId="IntenseQuote">
    <w:name w:val="Intense Quote"/>
    <w:basedOn w:val="Normal"/>
    <w:next w:val="Normal"/>
    <w:link w:val="IntenseQuoteChar"/>
    <w:uiPriority w:val="30"/>
    <w:qFormat/>
    <w:rsid w:val="00FD3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3FE9"/>
    <w:rPr>
      <w:i/>
      <w:iCs/>
      <w:color w:val="2F5496" w:themeColor="accent1" w:themeShade="BF"/>
    </w:rPr>
  </w:style>
  <w:style w:type="character" w:styleId="IntenseReference">
    <w:name w:val="Intense Reference"/>
    <w:basedOn w:val="DefaultParagraphFont"/>
    <w:uiPriority w:val="32"/>
    <w:qFormat/>
    <w:rsid w:val="00FD3FE9"/>
    <w:rPr>
      <w:b/>
      <w:bCs/>
      <w:smallCaps/>
      <w:color w:val="2F5496" w:themeColor="accent1" w:themeShade="BF"/>
      <w:spacing w:val="5"/>
    </w:rPr>
  </w:style>
  <w:style w:type="paragraph" w:styleId="Header">
    <w:name w:val="header"/>
    <w:basedOn w:val="Normal"/>
    <w:link w:val="HeaderChar"/>
    <w:uiPriority w:val="99"/>
    <w:unhideWhenUsed/>
    <w:rsid w:val="00225877"/>
    <w:pPr>
      <w:tabs>
        <w:tab w:val="center" w:pos="4680"/>
        <w:tab w:val="right" w:pos="9360"/>
      </w:tabs>
    </w:pPr>
  </w:style>
  <w:style w:type="character" w:customStyle="1" w:styleId="HeaderChar">
    <w:name w:val="Header Char"/>
    <w:basedOn w:val="DefaultParagraphFont"/>
    <w:link w:val="Header"/>
    <w:uiPriority w:val="99"/>
    <w:rsid w:val="00225877"/>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25877"/>
    <w:pPr>
      <w:tabs>
        <w:tab w:val="center" w:pos="4680"/>
        <w:tab w:val="right" w:pos="9360"/>
      </w:tabs>
    </w:pPr>
  </w:style>
  <w:style w:type="character" w:customStyle="1" w:styleId="FooterChar">
    <w:name w:val="Footer Char"/>
    <w:basedOn w:val="DefaultParagraphFont"/>
    <w:link w:val="Footer"/>
    <w:uiPriority w:val="99"/>
    <w:rsid w:val="00225877"/>
    <w:rPr>
      <w:rFonts w:ascii="Calibri" w:eastAsia="Calibri" w:hAnsi="Calibri" w:cs="Times New Roman"/>
      <w:kern w:val="0"/>
      <w:sz w:val="22"/>
      <w:szCs w:val="22"/>
      <w14:ligatures w14:val="none"/>
    </w:rPr>
  </w:style>
  <w:style w:type="paragraph" w:styleId="Revision">
    <w:name w:val="Revision"/>
    <w:hidden/>
    <w:uiPriority w:val="99"/>
    <w:semiHidden/>
    <w:rsid w:val="00F12DCF"/>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EC6874"/>
    <w:rPr>
      <w:sz w:val="16"/>
      <w:szCs w:val="16"/>
    </w:rPr>
  </w:style>
  <w:style w:type="paragraph" w:styleId="CommentText">
    <w:name w:val="annotation text"/>
    <w:basedOn w:val="Normal"/>
    <w:link w:val="CommentTextChar"/>
    <w:uiPriority w:val="99"/>
    <w:unhideWhenUsed/>
    <w:rsid w:val="00EC6874"/>
    <w:rPr>
      <w:sz w:val="20"/>
      <w:szCs w:val="20"/>
    </w:rPr>
  </w:style>
  <w:style w:type="character" w:customStyle="1" w:styleId="CommentTextChar">
    <w:name w:val="Comment Text Char"/>
    <w:basedOn w:val="DefaultParagraphFont"/>
    <w:link w:val="CommentText"/>
    <w:uiPriority w:val="99"/>
    <w:rsid w:val="00EC6874"/>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4271</Characters>
  <Application>Microsoft Office Word</Application>
  <DocSecurity>4</DocSecurity>
  <Lines>82</Lines>
  <Paragraphs>26</Paragraphs>
  <ScaleCrop>false</ScaleCrop>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Rusty Monhollon</dc:creator>
  <cp:keywords/>
  <dc:description/>
  <cp:lastModifiedBy>Williams, Rhonda</cp:lastModifiedBy>
  <cp:revision>2</cp:revision>
  <dcterms:created xsi:type="dcterms:W3CDTF">2025-11-21T14:29:00Z</dcterms:created>
  <dcterms:modified xsi:type="dcterms:W3CDTF">2025-11-21T14:29:00Z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b8cb0083-fece-4c74-b0a9-5f7b982acb07</vt:lpwstr>
  </property>
</Properties>
</file>