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608A" w14:textId="77777777" w:rsidR="00D260C6" w:rsidRPr="009821F9" w:rsidRDefault="00D260C6" w:rsidP="009821F9">
      <w:pPr>
        <w:jc w:val="center"/>
        <w:rPr>
          <w:b/>
          <w:bCs/>
          <w:sz w:val="24"/>
          <w:szCs w:val="24"/>
          <w:u w:val="single"/>
        </w:rPr>
      </w:pPr>
      <w:r w:rsidRPr="009821F9">
        <w:rPr>
          <w:b/>
          <w:bCs/>
          <w:sz w:val="24"/>
          <w:szCs w:val="24"/>
          <w:u w:val="single"/>
        </w:rPr>
        <w:t>KBOR TENURE POLICY</w:t>
      </w:r>
    </w:p>
    <w:p w14:paraId="36F656BD" w14:textId="77777777" w:rsidR="00D260C6" w:rsidRPr="009821F9" w:rsidRDefault="00D260C6" w:rsidP="009821F9">
      <w:pPr>
        <w:jc w:val="center"/>
        <w:rPr>
          <w:sz w:val="24"/>
          <w:szCs w:val="24"/>
        </w:rPr>
      </w:pPr>
    </w:p>
    <w:p w14:paraId="236A6AE0" w14:textId="77777777" w:rsidR="00D260C6" w:rsidRPr="009821F9" w:rsidRDefault="00D260C6" w:rsidP="009821F9">
      <w:pPr>
        <w:rPr>
          <w:b/>
          <w:bCs/>
          <w:sz w:val="24"/>
          <w:szCs w:val="24"/>
        </w:rPr>
      </w:pPr>
      <w:r w:rsidRPr="009821F9">
        <w:rPr>
          <w:b/>
          <w:bCs/>
          <w:sz w:val="24"/>
          <w:szCs w:val="24"/>
        </w:rPr>
        <w:t xml:space="preserve">CHAPTER II: GOVERNANCE – STATE UNIVERSITIES . . . </w:t>
      </w:r>
    </w:p>
    <w:p w14:paraId="4492E186" w14:textId="77777777" w:rsidR="00D260C6" w:rsidRPr="009821F9" w:rsidRDefault="00D260C6" w:rsidP="009821F9">
      <w:pPr>
        <w:rPr>
          <w:b/>
          <w:bCs/>
          <w:sz w:val="24"/>
          <w:szCs w:val="24"/>
        </w:rPr>
      </w:pPr>
      <w:r w:rsidRPr="009821F9">
        <w:rPr>
          <w:b/>
          <w:bCs/>
          <w:sz w:val="24"/>
          <w:szCs w:val="24"/>
        </w:rPr>
        <w:t xml:space="preserve">C. CHIEF EXECUTIVE OFFICER, FACULTY AND STAFF . . . </w:t>
      </w:r>
    </w:p>
    <w:p w14:paraId="51E2BCD4" w14:textId="77777777" w:rsidR="00D260C6" w:rsidRPr="009821F9" w:rsidRDefault="00D260C6" w:rsidP="009821F9">
      <w:pPr>
        <w:rPr>
          <w:b/>
          <w:bCs/>
          <w:sz w:val="24"/>
          <w:szCs w:val="24"/>
        </w:rPr>
      </w:pPr>
      <w:r w:rsidRPr="009821F9">
        <w:rPr>
          <w:b/>
          <w:bCs/>
          <w:sz w:val="24"/>
          <w:szCs w:val="24"/>
        </w:rPr>
        <w:t xml:space="preserve">2. APPOINTMENTS . . . </w:t>
      </w:r>
    </w:p>
    <w:p w14:paraId="0272E11E" w14:textId="4FE3027B" w:rsidR="00D260C6" w:rsidRPr="009821F9" w:rsidRDefault="006B47C5" w:rsidP="006B47C5">
      <w:pPr>
        <w:ind w:firstLine="720"/>
        <w:rPr>
          <w:b/>
          <w:bCs/>
          <w:sz w:val="24"/>
          <w:szCs w:val="24"/>
        </w:rPr>
      </w:pPr>
      <w:r>
        <w:rPr>
          <w:b/>
          <w:bCs/>
          <w:sz w:val="24"/>
          <w:szCs w:val="24"/>
        </w:rPr>
        <w:t xml:space="preserve"> </w:t>
      </w:r>
      <w:r w:rsidR="00D260C6" w:rsidRPr="009821F9">
        <w:rPr>
          <w:b/>
          <w:bCs/>
          <w:sz w:val="24"/>
          <w:szCs w:val="24"/>
        </w:rPr>
        <w:t xml:space="preserve">b. Faculty and Staff . . .  </w:t>
      </w:r>
    </w:p>
    <w:p w14:paraId="1A4C46BC" w14:textId="77777777" w:rsidR="0068676D" w:rsidRDefault="00D260C6" w:rsidP="009821F9">
      <w:pPr>
        <w:pStyle w:val="ListParagraph"/>
        <w:numPr>
          <w:ilvl w:val="0"/>
          <w:numId w:val="3"/>
        </w:numPr>
        <w:rPr>
          <w:b/>
          <w:bCs/>
          <w:sz w:val="24"/>
          <w:szCs w:val="24"/>
        </w:rPr>
      </w:pPr>
      <w:r w:rsidRPr="0068676D">
        <w:rPr>
          <w:b/>
          <w:bCs/>
          <w:sz w:val="24"/>
          <w:szCs w:val="24"/>
        </w:rPr>
        <w:t>Tenure for Tenure Track Faculty Appointments (</w:t>
      </w:r>
      <w:hyperlink r:id="rId7" w:tgtFrame="_blank" w:history="1">
        <w:r w:rsidRPr="0068676D">
          <w:rPr>
            <w:rStyle w:val="Hyperlink"/>
            <w:b/>
            <w:bCs/>
            <w:sz w:val="24"/>
            <w:szCs w:val="24"/>
          </w:rPr>
          <w:t>See Details of COVID-19 Exception</w:t>
        </w:r>
      </w:hyperlink>
      <w:r w:rsidRPr="0068676D">
        <w:rPr>
          <w:b/>
          <w:bCs/>
          <w:sz w:val="24"/>
          <w:szCs w:val="24"/>
        </w:rPr>
        <w:t>)</w:t>
      </w:r>
    </w:p>
    <w:p w14:paraId="058D8B8E" w14:textId="6DD51AAC" w:rsidR="007026AF" w:rsidRPr="008635C9" w:rsidRDefault="00D260C6" w:rsidP="007026AF">
      <w:pPr>
        <w:pStyle w:val="ListParagraph"/>
        <w:ind w:left="1170" w:hanging="270"/>
        <w:rPr>
          <w:color w:val="FF0000"/>
          <w:sz w:val="24"/>
          <w:szCs w:val="24"/>
        </w:rPr>
      </w:pPr>
      <w:r w:rsidRPr="000947F0">
        <w:rPr>
          <w:sz w:val="24"/>
          <w:szCs w:val="24"/>
        </w:rPr>
        <w:t xml:space="preserve">(1) This policy applies only to faculty who have been given tenure-track appointments. Faculty who </w:t>
      </w:r>
      <w:proofErr w:type="gramStart"/>
      <w:r w:rsidRPr="000947F0">
        <w:rPr>
          <w:sz w:val="24"/>
          <w:szCs w:val="24"/>
        </w:rPr>
        <w:t>have</w:t>
      </w:r>
      <w:proofErr w:type="gramEnd"/>
      <w:r w:rsidRPr="000947F0">
        <w:rPr>
          <w:sz w:val="24"/>
          <w:szCs w:val="24"/>
        </w:rPr>
        <w:t xml:space="preserve"> been awarded tenure may be terminated only for adequate cause, except in the case of program or unit discontinuance or under extraordinary circumstances because of financial exigency. </w:t>
      </w:r>
      <w:r w:rsidR="00E81BB7">
        <w:rPr>
          <w:color w:val="FF0000"/>
          <w:sz w:val="24"/>
          <w:szCs w:val="24"/>
        </w:rPr>
        <w:t>“A</w:t>
      </w:r>
      <w:r w:rsidR="008635C9">
        <w:rPr>
          <w:color w:val="FF0000"/>
          <w:sz w:val="24"/>
          <w:szCs w:val="24"/>
        </w:rPr>
        <w:t>dequate</w:t>
      </w:r>
      <w:r w:rsidR="00E81BB7">
        <w:rPr>
          <w:color w:val="FF0000"/>
          <w:sz w:val="24"/>
          <w:szCs w:val="24"/>
        </w:rPr>
        <w:t xml:space="preserve"> cause”</w:t>
      </w:r>
      <w:r w:rsidR="00A46689">
        <w:rPr>
          <w:color w:val="FF0000"/>
          <w:sz w:val="24"/>
          <w:szCs w:val="24"/>
        </w:rPr>
        <w:t xml:space="preserve"> is defined as </w:t>
      </w:r>
      <w:r w:rsidR="00A46689" w:rsidRPr="00A46689">
        <w:rPr>
          <w:color w:val="FF0000"/>
          <w:sz w:val="24"/>
          <w:szCs w:val="24"/>
        </w:rPr>
        <w:t>serious misconduct or performance issues that significantly impact the employment relationship.</w:t>
      </w:r>
    </w:p>
    <w:p w14:paraId="64B0F0CA" w14:textId="73079935" w:rsidR="0068676D" w:rsidRPr="000947F0" w:rsidRDefault="00D260C6" w:rsidP="007026AF">
      <w:pPr>
        <w:pStyle w:val="ListParagraph"/>
        <w:ind w:left="1170" w:hanging="270"/>
        <w:rPr>
          <w:sz w:val="24"/>
          <w:szCs w:val="24"/>
        </w:rPr>
      </w:pPr>
      <w:r w:rsidRPr="000947F0">
        <w:rPr>
          <w:sz w:val="24"/>
          <w:szCs w:val="24"/>
        </w:rPr>
        <w:t xml:space="preserve">(2) In the interpretation of the principles contained in paragraph (1) above, the following is applicable: </w:t>
      </w:r>
    </w:p>
    <w:p w14:paraId="1C4F1877" w14:textId="77777777" w:rsidR="001D36EF" w:rsidRPr="000947F0" w:rsidRDefault="00D260C6" w:rsidP="001D36EF">
      <w:pPr>
        <w:pStyle w:val="ListParagraph"/>
        <w:ind w:left="1440"/>
        <w:rPr>
          <w:sz w:val="24"/>
          <w:szCs w:val="24"/>
        </w:rPr>
      </w:pPr>
      <w:r w:rsidRPr="000947F0">
        <w:rPr>
          <w:sz w:val="24"/>
          <w:szCs w:val="24"/>
        </w:rPr>
        <w:t>(a) The terms and conditions of every appointment shall be stated in writing and be made available to the tenure-track faculty member at the time of appointment.</w:t>
      </w:r>
    </w:p>
    <w:p w14:paraId="1D0260A4" w14:textId="77777777" w:rsidR="001D36EF" w:rsidRPr="000947F0" w:rsidRDefault="00D260C6" w:rsidP="001D36EF">
      <w:pPr>
        <w:pStyle w:val="ListParagraph"/>
        <w:ind w:left="1440"/>
        <w:rPr>
          <w:sz w:val="24"/>
          <w:szCs w:val="24"/>
        </w:rPr>
      </w:pPr>
      <w:r w:rsidRPr="000947F0">
        <w:rPr>
          <w:sz w:val="24"/>
          <w:szCs w:val="24"/>
        </w:rPr>
        <w:t>(b) Beginning with the institution’s full-time appointment of the tenure-track faculty member, the probationary period shall not exceed seven years. Faculty health care providers whose sole practice is in connection with a KU practice plan, and/or a KU-affiliated VA hospital or pediatric provider, may be considered full-time solely for purposes of appointment to the Tenure Track. Medical school faculty researchers who are employed by the VA or by a pediatric provider to conduct medical research may be considered full-time solely for purposes of appointment to the Tenure Track. Physician faculty whose sole medical practice is in connection with a KU physician practice plan and who are appointed by the chief executive officer of the University of Kansas Hospital Authority (“KUHA”) to hold the position of Senior Vice President for Clinical Affairs or Physician in Chief of the KU Cancer Center as part of the Medical Center’s clinical integration with KUHA may be considered full-time solely for purposes of appointment to the Tenure Track as determined by the Chancellor to be in the best interest of the Medical Center. The chief executive officer, or the chief executive officer’s designee, may at his or her discretion reduce the probationary period at the time of appointment if it has been determined that the faculty member has served a partial probationary period at a comparable institution and such reduction is in the best interests of the institution. In no instance, however, may the probationary period for a tenure-track faculty member be reduced to less than four years, even though thereby the person's total probationary period in the academic profession is extended beyond the normal maximum of seven years. Notices should be given at least one year prior to the expiration of the probationary period if the tenure-track faculty member is not to be continued in service after the expiration of that period.</w:t>
      </w:r>
    </w:p>
    <w:p w14:paraId="795AB767" w14:textId="77777777" w:rsidR="001D36EF" w:rsidRPr="000947F0" w:rsidRDefault="00D260C6" w:rsidP="001D36EF">
      <w:pPr>
        <w:pStyle w:val="ListParagraph"/>
        <w:ind w:left="1440"/>
        <w:rPr>
          <w:sz w:val="24"/>
          <w:szCs w:val="24"/>
        </w:rPr>
      </w:pPr>
      <w:r w:rsidRPr="000947F0">
        <w:rPr>
          <w:sz w:val="24"/>
          <w:szCs w:val="24"/>
        </w:rPr>
        <w:lastRenderedPageBreak/>
        <w:t>(c) If an untenured faculty member becomes a parent through birth, adoptive placement, or adoption of a child under the age of 5 prior to May 1st of the fifth year of the probationary period, that faculty member, upon notification to the institution’s chief academic officer, shall be granted a one-year delay of the tenure review. Notification must occur within 90 days of the birth, adoptive placement, or adoption. Faculty members retain the right to opt out of this interruption policy.</w:t>
      </w:r>
    </w:p>
    <w:p w14:paraId="3E538939" w14:textId="77777777" w:rsidR="001D36EF" w:rsidRPr="000947F0" w:rsidRDefault="00D260C6" w:rsidP="001D36EF">
      <w:pPr>
        <w:pStyle w:val="ListParagraph"/>
        <w:ind w:left="1440"/>
        <w:rPr>
          <w:sz w:val="24"/>
          <w:szCs w:val="24"/>
        </w:rPr>
      </w:pPr>
      <w:r w:rsidRPr="000947F0">
        <w:rPr>
          <w:sz w:val="24"/>
          <w:szCs w:val="24"/>
        </w:rPr>
        <w:t>(d) Under unexpected special and extenuating circumstances, prior to the sixth year of service, and at the request of the faculty member and the appropriate dean, the chief academic officer of the university may grant an extension of the tenure clock for a maximum of one year.</w:t>
      </w:r>
    </w:p>
    <w:p w14:paraId="1DCA3D95" w14:textId="77777777" w:rsidR="001D36EF" w:rsidRPr="000947F0" w:rsidRDefault="00D260C6" w:rsidP="001D36EF">
      <w:pPr>
        <w:pStyle w:val="ListParagraph"/>
        <w:ind w:left="1440"/>
        <w:rPr>
          <w:sz w:val="24"/>
          <w:szCs w:val="24"/>
        </w:rPr>
      </w:pPr>
      <w:r w:rsidRPr="000947F0">
        <w:rPr>
          <w:sz w:val="24"/>
          <w:szCs w:val="24"/>
        </w:rPr>
        <w:t>(e) No more than two extensions of the tenure clock may be granted to a faculty member for any reason. Nothing in this provision shall be construed to guarantee reappointment of an untenured faculty member.</w:t>
      </w:r>
    </w:p>
    <w:p w14:paraId="4CEDA58E" w14:textId="77777777" w:rsidR="00DE0883" w:rsidRPr="000947F0" w:rsidRDefault="00D260C6" w:rsidP="00DE0883">
      <w:pPr>
        <w:pStyle w:val="ListParagraph"/>
        <w:ind w:left="1440"/>
        <w:rPr>
          <w:sz w:val="24"/>
          <w:szCs w:val="24"/>
        </w:rPr>
      </w:pPr>
      <w:r w:rsidRPr="000947F0">
        <w:rPr>
          <w:sz w:val="24"/>
          <w:szCs w:val="24"/>
        </w:rPr>
        <w:t xml:space="preserve">(f) Tenure is a privilege that must be affirmatively granted by the institution in recognition of meritorious performance. Tenure is not a privilege that can be achieved simply through continuous service at the institution, regardless of a faculty member’s length of service. Absent an affirmative action by a state university to award tenure, a faculty member shall not qualify for tenure solely by virtue of completing the probationary period. </w:t>
      </w:r>
    </w:p>
    <w:p w14:paraId="1114256B" w14:textId="77777777" w:rsidR="007026AF" w:rsidRPr="000947F0" w:rsidRDefault="00D260C6" w:rsidP="007026AF">
      <w:pPr>
        <w:pStyle w:val="ListParagraph"/>
        <w:ind w:left="990" w:hanging="270"/>
        <w:rPr>
          <w:sz w:val="24"/>
          <w:szCs w:val="24"/>
        </w:rPr>
      </w:pPr>
      <w:r w:rsidRPr="000947F0">
        <w:rPr>
          <w:sz w:val="24"/>
          <w:szCs w:val="24"/>
        </w:rPr>
        <w:t xml:space="preserve">(3) Within this general policy, each state university may make such operating regulations as it deems necessary, subject to the approval of the Board. </w:t>
      </w:r>
    </w:p>
    <w:p w14:paraId="116CF4F2" w14:textId="77777777" w:rsidR="007026AF" w:rsidRPr="000947F0" w:rsidRDefault="00D260C6" w:rsidP="007026AF">
      <w:pPr>
        <w:pStyle w:val="ListParagraph"/>
        <w:ind w:left="990" w:hanging="270"/>
        <w:rPr>
          <w:sz w:val="24"/>
          <w:szCs w:val="24"/>
        </w:rPr>
      </w:pPr>
      <w:r w:rsidRPr="000947F0">
        <w:rPr>
          <w:sz w:val="24"/>
          <w:szCs w:val="24"/>
        </w:rPr>
        <w:t>(4) Any tenure approved by the institution shall be limited to tenure for the recommended individual at the institution consistent with the tenure policies of that institution. (Effective 11/14/2002)</w:t>
      </w:r>
    </w:p>
    <w:p w14:paraId="0FEDF3D2" w14:textId="77777777" w:rsidR="007026AF" w:rsidRPr="000947F0" w:rsidRDefault="00D260C6" w:rsidP="007026AF">
      <w:pPr>
        <w:pStyle w:val="ListParagraph"/>
        <w:ind w:left="990" w:hanging="270"/>
        <w:rPr>
          <w:sz w:val="24"/>
          <w:szCs w:val="24"/>
        </w:rPr>
      </w:pPr>
      <w:r w:rsidRPr="000947F0">
        <w:rPr>
          <w:sz w:val="24"/>
          <w:szCs w:val="24"/>
        </w:rPr>
        <w:t>(5) In exceptional cases, the chief executive officer at a state university may hire faculty members with tenure without their having completed a probationary period.</w:t>
      </w:r>
    </w:p>
    <w:p w14:paraId="21EF8781" w14:textId="77777777" w:rsidR="007026AF" w:rsidRPr="007026AF" w:rsidRDefault="00D260C6" w:rsidP="007026AF">
      <w:pPr>
        <w:pStyle w:val="ListParagraph"/>
        <w:ind w:left="990" w:hanging="270"/>
        <w:rPr>
          <w:color w:val="C00000"/>
          <w:sz w:val="24"/>
          <w:szCs w:val="24"/>
        </w:rPr>
      </w:pPr>
      <w:r w:rsidRPr="000947F0">
        <w:rPr>
          <w:sz w:val="24"/>
          <w:szCs w:val="24"/>
        </w:rPr>
        <w:t>(6) Decisions of the chief executive officer shall be final and are not subject to further administrative review by any officer</w:t>
      </w:r>
      <w:r w:rsidRPr="007026AF">
        <w:rPr>
          <w:sz w:val="24"/>
          <w:szCs w:val="24"/>
        </w:rPr>
        <w:t xml:space="preserve"> or committee of the institution or by the Board of Regents.</w:t>
      </w:r>
    </w:p>
    <w:p w14:paraId="5FC6111A" w14:textId="062ACDD7" w:rsidR="000B1270" w:rsidRPr="007055CC" w:rsidRDefault="007026AF" w:rsidP="007026AF">
      <w:pPr>
        <w:pStyle w:val="ListParagraph"/>
        <w:ind w:left="990" w:hanging="270"/>
        <w:rPr>
          <w:color w:val="FF0000"/>
          <w:sz w:val="24"/>
          <w:szCs w:val="24"/>
        </w:rPr>
      </w:pPr>
      <w:r w:rsidRPr="007055CC">
        <w:rPr>
          <w:color w:val="FF0000"/>
          <w:sz w:val="24"/>
          <w:szCs w:val="24"/>
        </w:rPr>
        <w:t xml:space="preserve">(7) Each university shall submit an annual tenure review report to the </w:t>
      </w:r>
      <w:r w:rsidR="00964B60" w:rsidRPr="007055CC">
        <w:rPr>
          <w:color w:val="FF0000"/>
          <w:sz w:val="24"/>
          <w:szCs w:val="24"/>
        </w:rPr>
        <w:t xml:space="preserve">Board’s </w:t>
      </w:r>
      <w:r w:rsidRPr="007055CC">
        <w:rPr>
          <w:color w:val="FF0000"/>
          <w:sz w:val="24"/>
          <w:szCs w:val="24"/>
        </w:rPr>
        <w:t xml:space="preserve">vice president for academic affairs. The report shall include, at a minimum, data on the number of tenured faculty, faculty on a tenure-track, faculty awarded tenure in the past academic year, faculty denied tenure in the same period, and tenure-track faculty who have left the university before applying for tenure. </w:t>
      </w:r>
    </w:p>
    <w:p w14:paraId="2A2CF609" w14:textId="518EA825" w:rsidR="00F03A9E" w:rsidRPr="007055CC" w:rsidRDefault="00F03A9E" w:rsidP="007026AF">
      <w:pPr>
        <w:pStyle w:val="ListParagraph"/>
        <w:ind w:left="990" w:hanging="270"/>
        <w:rPr>
          <w:color w:val="FF0000"/>
          <w:sz w:val="24"/>
          <w:szCs w:val="24"/>
        </w:rPr>
      </w:pPr>
      <w:r w:rsidRPr="007055CC">
        <w:rPr>
          <w:color w:val="FF0000"/>
          <w:sz w:val="24"/>
          <w:szCs w:val="24"/>
        </w:rPr>
        <w:tab/>
      </w:r>
      <w:proofErr w:type="spellStart"/>
      <w:r w:rsidRPr="007055CC">
        <w:rPr>
          <w:color w:val="FF0000"/>
          <w:sz w:val="24"/>
          <w:szCs w:val="24"/>
        </w:rPr>
        <w:t>i</w:t>
      </w:r>
      <w:proofErr w:type="spellEnd"/>
      <w:r w:rsidRPr="007055CC">
        <w:rPr>
          <w:color w:val="FF0000"/>
          <w:sz w:val="24"/>
          <w:szCs w:val="24"/>
        </w:rPr>
        <w:t xml:space="preserve">. The tenure review report </w:t>
      </w:r>
      <w:r w:rsidR="00206271" w:rsidRPr="007055CC">
        <w:rPr>
          <w:color w:val="FF0000"/>
          <w:sz w:val="24"/>
          <w:szCs w:val="24"/>
        </w:rPr>
        <w:t>may be combined with the post-tenure review report.</w:t>
      </w:r>
    </w:p>
    <w:sectPr w:rsidR="00F03A9E" w:rsidRPr="007055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9B72" w14:textId="77777777" w:rsidR="00C94D51" w:rsidRDefault="00C94D51" w:rsidP="002403BC">
      <w:r>
        <w:separator/>
      </w:r>
    </w:p>
  </w:endnote>
  <w:endnote w:type="continuationSeparator" w:id="0">
    <w:p w14:paraId="028459B0" w14:textId="77777777" w:rsidR="00C94D51" w:rsidRDefault="00C94D51" w:rsidP="0024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9A01" w14:textId="77777777" w:rsidR="00C94D51" w:rsidRDefault="00C94D51" w:rsidP="002403BC">
      <w:r>
        <w:separator/>
      </w:r>
    </w:p>
  </w:footnote>
  <w:footnote w:type="continuationSeparator" w:id="0">
    <w:p w14:paraId="082057E5" w14:textId="77777777" w:rsidR="00C94D51" w:rsidRDefault="00C94D51" w:rsidP="0024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7A10" w14:textId="1687DB71" w:rsidR="002403BC" w:rsidRDefault="00AD6747" w:rsidP="002403BC">
    <w:pPr>
      <w:pStyle w:val="Header"/>
      <w:rPr>
        <w:sz w:val="16"/>
        <w:szCs w:val="16"/>
      </w:rPr>
    </w:pPr>
    <w:sdt>
      <w:sdtPr>
        <w:id w:val="868873830"/>
        <w:docPartObj>
          <w:docPartGallery w:val="Watermarks"/>
          <w:docPartUnique/>
        </w:docPartObj>
      </w:sdtPr>
      <w:sdtEndPr/>
      <w:sdtContent>
        <w:r>
          <w:rPr>
            <w:noProof/>
          </w:rPr>
          <w:pict w14:anchorId="6368B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403BC" w:rsidRPr="006E57A2">
      <w:rPr>
        <w:sz w:val="16"/>
        <w:szCs w:val="16"/>
      </w:rPr>
      <w:t xml:space="preserve">KBOR </w:t>
    </w:r>
    <w:r w:rsidR="002403BC">
      <w:rPr>
        <w:sz w:val="16"/>
        <w:szCs w:val="16"/>
      </w:rPr>
      <w:t xml:space="preserve">Tenure </w:t>
    </w:r>
    <w:r w:rsidR="002403BC" w:rsidRPr="006E57A2">
      <w:rPr>
        <w:sz w:val="16"/>
        <w:szCs w:val="16"/>
      </w:rPr>
      <w:t xml:space="preserve">Policy </w:t>
    </w:r>
    <w:r w:rsidR="002403BC">
      <w:rPr>
        <w:sz w:val="16"/>
        <w:szCs w:val="16"/>
      </w:rPr>
      <w:t xml:space="preserve">Draft </w:t>
    </w:r>
    <w:r w:rsidR="002403BC" w:rsidRPr="006E57A2">
      <w:rPr>
        <w:sz w:val="16"/>
        <w:szCs w:val="16"/>
      </w:rPr>
      <w:t>Revision</w:t>
    </w:r>
    <w:r w:rsidR="002403BC">
      <w:rPr>
        <w:sz w:val="16"/>
        <w:szCs w:val="16"/>
      </w:rPr>
      <w:t>s</w:t>
    </w:r>
    <w:r w:rsidR="002403BC">
      <w:rPr>
        <w:sz w:val="16"/>
        <w:szCs w:val="16"/>
      </w:rPr>
      <w:tab/>
    </w:r>
    <w:r w:rsidR="002403BC" w:rsidRPr="006E57A2">
      <w:rPr>
        <w:sz w:val="16"/>
        <w:szCs w:val="16"/>
      </w:rPr>
      <w:t>v.1.</w:t>
    </w:r>
    <w:r w:rsidR="00DF7BF8">
      <w:rPr>
        <w:sz w:val="16"/>
        <w:szCs w:val="16"/>
      </w:rPr>
      <w:t>2</w:t>
    </w:r>
    <w:r w:rsidR="002403BC" w:rsidRPr="006E57A2">
      <w:rPr>
        <w:sz w:val="16"/>
        <w:szCs w:val="16"/>
      </w:rPr>
      <w:tab/>
    </w:r>
    <w:r w:rsidR="00F52272">
      <w:rPr>
        <w:sz w:val="16"/>
        <w:szCs w:val="16"/>
      </w:rPr>
      <w:t>November 10</w:t>
    </w:r>
    <w:r w:rsidR="002403BC" w:rsidRPr="006E57A2">
      <w:rPr>
        <w:sz w:val="16"/>
        <w:szCs w:val="16"/>
      </w:rPr>
      <w:t>, 2025</w:t>
    </w:r>
  </w:p>
  <w:p w14:paraId="4E2195FF" w14:textId="77777777" w:rsidR="002403BC" w:rsidRPr="006E57A2" w:rsidRDefault="002403BC" w:rsidP="002403BC">
    <w:pPr>
      <w:pStyle w:val="Header"/>
      <w:jc w:val="center"/>
      <w:rPr>
        <w:sz w:val="16"/>
        <w:szCs w:val="16"/>
      </w:rPr>
    </w:pPr>
    <w:r>
      <w:rPr>
        <w:sz w:val="16"/>
        <w:szCs w:val="16"/>
      </w:rPr>
      <w:t>WORKING DOCUMENT FOR INTERNAL USE ONLY</w:t>
    </w:r>
  </w:p>
  <w:p w14:paraId="7534291E" w14:textId="77777777" w:rsidR="002403BC" w:rsidRDefault="00240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4406"/>
    <w:multiLevelType w:val="hybridMultilevel"/>
    <w:tmpl w:val="41CEF9D0"/>
    <w:lvl w:ilvl="0" w:tplc="BE58AA28">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02477"/>
    <w:multiLevelType w:val="hybridMultilevel"/>
    <w:tmpl w:val="8D7667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B9476A"/>
    <w:multiLevelType w:val="hybridMultilevel"/>
    <w:tmpl w:val="98A20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885329">
    <w:abstractNumId w:val="2"/>
  </w:num>
  <w:num w:numId="2" w16cid:durableId="827549938">
    <w:abstractNumId w:val="1"/>
  </w:num>
  <w:num w:numId="3" w16cid:durableId="56822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C6"/>
    <w:rsid w:val="000164B7"/>
    <w:rsid w:val="000947F0"/>
    <w:rsid w:val="000B1270"/>
    <w:rsid w:val="000C14A0"/>
    <w:rsid w:val="001D36EF"/>
    <w:rsid w:val="00206271"/>
    <w:rsid w:val="002403BC"/>
    <w:rsid w:val="00400E49"/>
    <w:rsid w:val="00460AD8"/>
    <w:rsid w:val="00467531"/>
    <w:rsid w:val="00475CAC"/>
    <w:rsid w:val="00603331"/>
    <w:rsid w:val="0068676D"/>
    <w:rsid w:val="006B47C5"/>
    <w:rsid w:val="007026AF"/>
    <w:rsid w:val="007055CC"/>
    <w:rsid w:val="007F1467"/>
    <w:rsid w:val="008635C9"/>
    <w:rsid w:val="008906B9"/>
    <w:rsid w:val="008D17AC"/>
    <w:rsid w:val="00964B60"/>
    <w:rsid w:val="009821F9"/>
    <w:rsid w:val="00A46689"/>
    <w:rsid w:val="00AD6747"/>
    <w:rsid w:val="00BD249D"/>
    <w:rsid w:val="00C94D51"/>
    <w:rsid w:val="00CA5A62"/>
    <w:rsid w:val="00CA622C"/>
    <w:rsid w:val="00CD00DC"/>
    <w:rsid w:val="00D260C6"/>
    <w:rsid w:val="00DE0883"/>
    <w:rsid w:val="00DF7BF8"/>
    <w:rsid w:val="00E81BB7"/>
    <w:rsid w:val="00F03A9E"/>
    <w:rsid w:val="00F205B1"/>
    <w:rsid w:val="00F52272"/>
    <w:rsid w:val="00F87350"/>
    <w:rsid w:val="00FC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E3BC8"/>
  <w15:chartTrackingRefBased/>
  <w15:docId w15:val="{D316DCB3-ED3A-4A89-B5E4-E331C202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C6"/>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26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0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0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0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0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0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0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0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0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0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0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0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0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0C6"/>
    <w:rPr>
      <w:rFonts w:eastAsiaTheme="majorEastAsia" w:cstheme="majorBidi"/>
      <w:color w:val="272727" w:themeColor="text1" w:themeTint="D8"/>
    </w:rPr>
  </w:style>
  <w:style w:type="paragraph" w:styleId="Title">
    <w:name w:val="Title"/>
    <w:basedOn w:val="Normal"/>
    <w:next w:val="Normal"/>
    <w:link w:val="TitleChar"/>
    <w:uiPriority w:val="10"/>
    <w:qFormat/>
    <w:rsid w:val="00D260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0C6"/>
    <w:pPr>
      <w:spacing w:before="160"/>
      <w:jc w:val="center"/>
    </w:pPr>
    <w:rPr>
      <w:i/>
      <w:iCs/>
      <w:color w:val="404040" w:themeColor="text1" w:themeTint="BF"/>
    </w:rPr>
  </w:style>
  <w:style w:type="character" w:customStyle="1" w:styleId="QuoteChar">
    <w:name w:val="Quote Char"/>
    <w:basedOn w:val="DefaultParagraphFont"/>
    <w:link w:val="Quote"/>
    <w:uiPriority w:val="29"/>
    <w:rsid w:val="00D260C6"/>
    <w:rPr>
      <w:i/>
      <w:iCs/>
      <w:color w:val="404040" w:themeColor="text1" w:themeTint="BF"/>
    </w:rPr>
  </w:style>
  <w:style w:type="paragraph" w:styleId="ListParagraph">
    <w:name w:val="List Paragraph"/>
    <w:basedOn w:val="Normal"/>
    <w:uiPriority w:val="34"/>
    <w:qFormat/>
    <w:rsid w:val="00D260C6"/>
    <w:pPr>
      <w:ind w:left="720"/>
      <w:contextualSpacing/>
    </w:pPr>
  </w:style>
  <w:style w:type="character" w:styleId="IntenseEmphasis">
    <w:name w:val="Intense Emphasis"/>
    <w:basedOn w:val="DefaultParagraphFont"/>
    <w:uiPriority w:val="21"/>
    <w:qFormat/>
    <w:rsid w:val="00D260C6"/>
    <w:rPr>
      <w:i/>
      <w:iCs/>
      <w:color w:val="2F5496" w:themeColor="accent1" w:themeShade="BF"/>
    </w:rPr>
  </w:style>
  <w:style w:type="paragraph" w:styleId="IntenseQuote">
    <w:name w:val="Intense Quote"/>
    <w:basedOn w:val="Normal"/>
    <w:next w:val="Normal"/>
    <w:link w:val="IntenseQuoteChar"/>
    <w:uiPriority w:val="30"/>
    <w:qFormat/>
    <w:rsid w:val="00D26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0C6"/>
    <w:rPr>
      <w:i/>
      <w:iCs/>
      <w:color w:val="2F5496" w:themeColor="accent1" w:themeShade="BF"/>
    </w:rPr>
  </w:style>
  <w:style w:type="character" w:styleId="IntenseReference">
    <w:name w:val="Intense Reference"/>
    <w:basedOn w:val="DefaultParagraphFont"/>
    <w:uiPriority w:val="32"/>
    <w:qFormat/>
    <w:rsid w:val="00D260C6"/>
    <w:rPr>
      <w:b/>
      <w:bCs/>
      <w:smallCaps/>
      <w:color w:val="2F5496" w:themeColor="accent1" w:themeShade="BF"/>
      <w:spacing w:val="5"/>
    </w:rPr>
  </w:style>
  <w:style w:type="character" w:styleId="Hyperlink">
    <w:name w:val="Hyperlink"/>
    <w:basedOn w:val="DefaultParagraphFont"/>
    <w:uiPriority w:val="99"/>
    <w:unhideWhenUsed/>
    <w:rsid w:val="00D260C6"/>
    <w:rPr>
      <w:color w:val="0563C1" w:themeColor="hyperlink"/>
      <w:u w:val="single"/>
    </w:rPr>
  </w:style>
  <w:style w:type="paragraph" w:styleId="Header">
    <w:name w:val="header"/>
    <w:basedOn w:val="Normal"/>
    <w:link w:val="HeaderChar"/>
    <w:uiPriority w:val="99"/>
    <w:unhideWhenUsed/>
    <w:rsid w:val="002403BC"/>
    <w:pPr>
      <w:tabs>
        <w:tab w:val="center" w:pos="4680"/>
        <w:tab w:val="right" w:pos="9360"/>
      </w:tabs>
    </w:pPr>
  </w:style>
  <w:style w:type="character" w:customStyle="1" w:styleId="HeaderChar">
    <w:name w:val="Header Char"/>
    <w:basedOn w:val="DefaultParagraphFont"/>
    <w:link w:val="Header"/>
    <w:uiPriority w:val="99"/>
    <w:rsid w:val="002403B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403BC"/>
    <w:pPr>
      <w:tabs>
        <w:tab w:val="center" w:pos="4680"/>
        <w:tab w:val="right" w:pos="9360"/>
      </w:tabs>
    </w:pPr>
  </w:style>
  <w:style w:type="character" w:customStyle="1" w:styleId="FooterChar">
    <w:name w:val="Footer Char"/>
    <w:basedOn w:val="DefaultParagraphFont"/>
    <w:link w:val="Footer"/>
    <w:uiPriority w:val="99"/>
    <w:rsid w:val="002403BC"/>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63431">
      <w:bodyDiv w:val="1"/>
      <w:marLeft w:val="0"/>
      <w:marRight w:val="0"/>
      <w:marTop w:val="0"/>
      <w:marBottom w:val="0"/>
      <w:divBdr>
        <w:top w:val="none" w:sz="0" w:space="0" w:color="auto"/>
        <w:left w:val="none" w:sz="0" w:space="0" w:color="auto"/>
        <w:bottom w:val="none" w:sz="0" w:space="0" w:color="auto"/>
        <w:right w:val="none" w:sz="0" w:space="0" w:color="auto"/>
      </w:divBdr>
    </w:div>
    <w:div w:id="12384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nsasregents.gov/about/policies-by-laws-missions/board_policy_manual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4605</Characters>
  <Application>Microsoft Office Word</Application>
  <DocSecurity>4</DocSecurity>
  <Lines>79</Lines>
  <Paragraphs>20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Monhollon</dc:creator>
  <cp:keywords/>
  <dc:description/>
  <cp:lastModifiedBy>Williams, Rhonda</cp:lastModifiedBy>
  <cp:revision>2</cp:revision>
  <dcterms:created xsi:type="dcterms:W3CDTF">2025-11-21T14:31:00Z</dcterms:created>
  <dcterms:modified xsi:type="dcterms:W3CDTF">2025-11-21T14:31:00Z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69a9c65b-078c-43bf-a061-5ef951c0ba0f</vt:lpwstr>
  </property>
</Properties>
</file>