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4B489" w14:textId="77777777" w:rsidR="004B193A" w:rsidRDefault="004B193A" w:rsidP="004B193A">
      <w:pPr>
        <w:jc w:val="center"/>
        <w:rPr>
          <w:rFonts w:ascii="Times New Roman" w:hAnsi="Times New Roman" w:cs="Times New Roman"/>
          <w:sz w:val="26"/>
          <w:szCs w:val="26"/>
        </w:rPr>
      </w:pPr>
      <w:r w:rsidRPr="00746537">
        <w:rPr>
          <w:rFonts w:ascii="Times New Roman" w:hAnsi="Times New Roman" w:cs="Times New Roman"/>
          <w:sz w:val="26"/>
          <w:szCs w:val="26"/>
        </w:rPr>
        <w:t xml:space="preserve">Assessment Rubric: </w:t>
      </w:r>
      <w:r>
        <w:rPr>
          <w:rFonts w:ascii="Times New Roman" w:hAnsi="Times New Roman" w:cs="Times New Roman"/>
          <w:sz w:val="26"/>
          <w:szCs w:val="26"/>
        </w:rPr>
        <w:t>Portfolio Project</w:t>
      </w:r>
    </w:p>
    <w:p w14:paraId="79EEDB2F" w14:textId="77777777" w:rsidR="004B193A" w:rsidRPr="00746537" w:rsidRDefault="004B193A" w:rsidP="004B193A">
      <w:pPr>
        <w:jc w:val="center"/>
        <w:rPr>
          <w:rFonts w:ascii="Times New Roman" w:hAnsi="Times New Roman" w:cs="Times New Roman"/>
          <w:sz w:val="26"/>
          <w:szCs w:val="26"/>
        </w:rPr>
      </w:pPr>
      <w:r>
        <w:rPr>
          <w:rFonts w:ascii="Times New Roman" w:hAnsi="Times New Roman" w:cs="Times New Roman"/>
          <w:sz w:val="26"/>
          <w:szCs w:val="26"/>
        </w:rPr>
        <w:t xml:space="preserve">MA Program in English Literature </w:t>
      </w:r>
    </w:p>
    <w:p w14:paraId="5B5B9E2C" w14:textId="77777777" w:rsidR="004B193A" w:rsidRPr="00B91F8B" w:rsidRDefault="004B193A" w:rsidP="004B193A">
      <w:pPr>
        <w:jc w:val="right"/>
        <w:rPr>
          <w:rFonts w:ascii="Times New Roman" w:hAnsi="Times New Roman" w:cs="Times New Roman"/>
        </w:rPr>
      </w:pPr>
    </w:p>
    <w:tbl>
      <w:tblPr>
        <w:tblStyle w:val="TableGrid"/>
        <w:tblW w:w="9535" w:type="dxa"/>
        <w:tblLook w:val="04A0" w:firstRow="1" w:lastRow="0" w:firstColumn="1" w:lastColumn="0" w:noHBand="0" w:noVBand="1"/>
      </w:tblPr>
      <w:tblGrid>
        <w:gridCol w:w="1975"/>
        <w:gridCol w:w="7560"/>
      </w:tblGrid>
      <w:tr w:rsidR="004B193A" w:rsidRPr="00B91F8B" w14:paraId="15F07BCF" w14:textId="77777777" w:rsidTr="009512AB">
        <w:tc>
          <w:tcPr>
            <w:tcW w:w="9535" w:type="dxa"/>
            <w:gridSpan w:val="2"/>
            <w:shd w:val="clear" w:color="auto" w:fill="E7E6E6" w:themeFill="background2"/>
          </w:tcPr>
          <w:p w14:paraId="64CFE0D0" w14:textId="77777777" w:rsidR="004B193A" w:rsidRPr="00B91F8B" w:rsidRDefault="004B193A" w:rsidP="009512AB">
            <w:pPr>
              <w:rPr>
                <w:rFonts w:ascii="Times New Roman" w:hAnsi="Times New Roman" w:cs="Times New Roman"/>
                <w:b/>
              </w:rPr>
            </w:pPr>
            <w:r w:rsidRPr="00B91F8B">
              <w:rPr>
                <w:rFonts w:ascii="Times New Roman" w:hAnsi="Times New Roman" w:cs="Times New Roman"/>
                <w:b/>
              </w:rPr>
              <w:t xml:space="preserve">Measurable Learning Outcome 1: </w:t>
            </w:r>
            <w:r w:rsidRPr="00B91F8B">
              <w:rPr>
                <w:rFonts w:ascii="Times New Roman" w:hAnsi="Times New Roman" w:cs="Times New Roman"/>
              </w:rPr>
              <w:t>Develop a broad knowledge of literary history and culture and of the methods and goals of literary criticism</w:t>
            </w:r>
          </w:p>
        </w:tc>
      </w:tr>
      <w:tr w:rsidR="004B193A" w14:paraId="2827D9B4" w14:textId="77777777" w:rsidTr="009512AB">
        <w:trPr>
          <w:trHeight w:val="341"/>
        </w:trPr>
        <w:tc>
          <w:tcPr>
            <w:tcW w:w="1975" w:type="dxa"/>
          </w:tcPr>
          <w:p w14:paraId="45CA6B6C" w14:textId="77777777" w:rsidR="004B193A" w:rsidRDefault="004B193A" w:rsidP="009512AB">
            <w:pPr>
              <w:jc w:val="center"/>
              <w:rPr>
                <w:rFonts w:ascii="Times New Roman" w:hAnsi="Times New Roman" w:cs="Times New Roman"/>
                <w:sz w:val="22"/>
                <w:szCs w:val="22"/>
              </w:rPr>
            </w:pPr>
          </w:p>
          <w:p w14:paraId="0187E30F" w14:textId="77777777" w:rsidR="004B193A" w:rsidRPr="00F560F5" w:rsidRDefault="004B193A" w:rsidP="009512AB">
            <w:pPr>
              <w:jc w:val="center"/>
              <w:rPr>
                <w:rFonts w:ascii="Times New Roman" w:hAnsi="Times New Roman" w:cs="Times New Roman"/>
                <w:sz w:val="22"/>
                <w:szCs w:val="22"/>
              </w:rPr>
            </w:pPr>
            <w:r w:rsidRPr="00F560F5">
              <w:rPr>
                <w:rFonts w:ascii="Times New Roman" w:hAnsi="Times New Roman" w:cs="Times New Roman"/>
                <w:sz w:val="22"/>
                <w:szCs w:val="22"/>
              </w:rPr>
              <w:t xml:space="preserve">Exceptional </w:t>
            </w:r>
          </w:p>
          <w:p w14:paraId="551E5B3D" w14:textId="77777777" w:rsidR="004B193A" w:rsidRPr="00F560F5" w:rsidRDefault="004B193A" w:rsidP="009512AB">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089F141F" w14:textId="77777777" w:rsidR="004B193A" w:rsidRDefault="004B193A" w:rsidP="009512AB">
            <w:pPr>
              <w:rPr>
                <w:rFonts w:ascii="Times New Roman" w:hAnsi="Times New Roman" w:cs="Times New Roman"/>
                <w:sz w:val="22"/>
                <w:szCs w:val="22"/>
              </w:rPr>
            </w:pPr>
            <w:r w:rsidRPr="000675BF">
              <w:rPr>
                <w:rFonts w:ascii="Times New Roman" w:hAnsi="Times New Roman" w:cs="Times New Roman"/>
                <w:sz w:val="22"/>
                <w:szCs w:val="22"/>
              </w:rPr>
              <w:t>Showcases a deep knowledge of the various literary, critical, and historical traditions associated with the student’s period of study. Offers an insightful analysis of the primary and secondary texts informing the student’s area of specialization</w:t>
            </w:r>
            <w:r>
              <w:rPr>
                <w:rFonts w:ascii="Times New Roman" w:hAnsi="Times New Roman" w:cs="Times New Roman"/>
                <w:sz w:val="22"/>
                <w:szCs w:val="22"/>
              </w:rPr>
              <w:t>.</w:t>
            </w:r>
            <w:r w:rsidRPr="000675BF">
              <w:rPr>
                <w:rFonts w:ascii="Times New Roman" w:hAnsi="Times New Roman" w:cs="Times New Roman"/>
                <w:sz w:val="22"/>
                <w:szCs w:val="22"/>
              </w:rPr>
              <w:t xml:space="preserve"> </w:t>
            </w:r>
          </w:p>
          <w:p w14:paraId="59D3A9D9" w14:textId="77777777" w:rsidR="004B193A" w:rsidRPr="000675BF" w:rsidRDefault="004B193A" w:rsidP="009512AB">
            <w:pPr>
              <w:rPr>
                <w:rFonts w:ascii="Times New Roman" w:hAnsi="Times New Roman" w:cs="Times New Roman"/>
                <w:sz w:val="22"/>
                <w:szCs w:val="22"/>
              </w:rPr>
            </w:pPr>
          </w:p>
        </w:tc>
      </w:tr>
      <w:tr w:rsidR="004B193A" w14:paraId="78E19173" w14:textId="77777777" w:rsidTr="009512AB">
        <w:trPr>
          <w:trHeight w:val="1070"/>
        </w:trPr>
        <w:tc>
          <w:tcPr>
            <w:tcW w:w="1975" w:type="dxa"/>
          </w:tcPr>
          <w:p w14:paraId="1BD78923" w14:textId="77777777" w:rsidR="004B193A" w:rsidRDefault="004B193A" w:rsidP="009512AB">
            <w:pPr>
              <w:jc w:val="center"/>
              <w:rPr>
                <w:rFonts w:ascii="Times New Roman" w:hAnsi="Times New Roman" w:cs="Times New Roman"/>
                <w:sz w:val="22"/>
                <w:szCs w:val="22"/>
              </w:rPr>
            </w:pPr>
          </w:p>
          <w:p w14:paraId="36B4C6C7" w14:textId="77777777" w:rsidR="004B193A" w:rsidRPr="00F560F5" w:rsidRDefault="004B193A" w:rsidP="009512AB">
            <w:pPr>
              <w:jc w:val="center"/>
              <w:rPr>
                <w:rFonts w:ascii="Times New Roman" w:hAnsi="Times New Roman" w:cs="Times New Roman"/>
                <w:sz w:val="22"/>
                <w:szCs w:val="22"/>
              </w:rPr>
            </w:pPr>
            <w:r w:rsidRPr="00F560F5">
              <w:rPr>
                <w:rFonts w:ascii="Times New Roman" w:hAnsi="Times New Roman" w:cs="Times New Roman"/>
                <w:sz w:val="22"/>
                <w:szCs w:val="22"/>
              </w:rPr>
              <w:t xml:space="preserve">Excellent </w:t>
            </w:r>
          </w:p>
          <w:p w14:paraId="503A8992" w14:textId="77777777" w:rsidR="004B193A" w:rsidRPr="00F560F5" w:rsidRDefault="004B193A" w:rsidP="009512AB">
            <w:pPr>
              <w:jc w:val="center"/>
              <w:rPr>
                <w:rFonts w:ascii="Times New Roman" w:hAnsi="Times New Roman" w:cs="Times New Roman"/>
                <w:sz w:val="22"/>
                <w:szCs w:val="22"/>
              </w:rPr>
            </w:pPr>
            <w:r>
              <w:rPr>
                <w:rFonts w:ascii="Times New Roman" w:hAnsi="Times New Roman" w:cs="Times New Roman"/>
                <w:sz w:val="22"/>
                <w:szCs w:val="22"/>
              </w:rPr>
              <w:t>7 points</w:t>
            </w:r>
          </w:p>
        </w:tc>
        <w:tc>
          <w:tcPr>
            <w:tcW w:w="7560" w:type="dxa"/>
          </w:tcPr>
          <w:p w14:paraId="70BC989A" w14:textId="77777777" w:rsidR="004B193A" w:rsidRDefault="004B193A" w:rsidP="009512AB">
            <w:pPr>
              <w:rPr>
                <w:rFonts w:ascii="Times New Roman" w:hAnsi="Times New Roman" w:cs="Times New Roman"/>
                <w:sz w:val="22"/>
                <w:szCs w:val="22"/>
              </w:rPr>
            </w:pPr>
            <w:r w:rsidRPr="000675BF">
              <w:rPr>
                <w:rFonts w:ascii="Times New Roman" w:hAnsi="Times New Roman" w:cs="Times New Roman"/>
                <w:sz w:val="22"/>
                <w:szCs w:val="22"/>
              </w:rPr>
              <w:t xml:space="preserve">Demonstrates a </w:t>
            </w:r>
            <w:r>
              <w:rPr>
                <w:rFonts w:ascii="Times New Roman" w:hAnsi="Times New Roman" w:cs="Times New Roman"/>
                <w:sz w:val="22"/>
                <w:szCs w:val="22"/>
              </w:rPr>
              <w:t>working</w:t>
            </w:r>
            <w:r w:rsidRPr="000675BF">
              <w:rPr>
                <w:rFonts w:ascii="Times New Roman" w:hAnsi="Times New Roman" w:cs="Times New Roman"/>
                <w:sz w:val="22"/>
                <w:szCs w:val="22"/>
              </w:rPr>
              <w:t xml:space="preserve"> knowledge of the various literary, critical, and historical traditions associated with the student’s period of study. Provides a clear and well-thought out analysis of the primary and secondary texts informing the student’s area of specialization</w:t>
            </w:r>
            <w:r>
              <w:rPr>
                <w:rFonts w:ascii="Times New Roman" w:hAnsi="Times New Roman" w:cs="Times New Roman"/>
                <w:sz w:val="22"/>
                <w:szCs w:val="22"/>
              </w:rPr>
              <w:t>.</w:t>
            </w:r>
          </w:p>
          <w:p w14:paraId="0E3741BC" w14:textId="77777777" w:rsidR="004B193A" w:rsidRPr="000675BF" w:rsidRDefault="004B193A" w:rsidP="009512AB">
            <w:pPr>
              <w:rPr>
                <w:rFonts w:ascii="Times New Roman" w:hAnsi="Times New Roman" w:cs="Times New Roman"/>
                <w:sz w:val="22"/>
                <w:szCs w:val="22"/>
              </w:rPr>
            </w:pPr>
          </w:p>
        </w:tc>
      </w:tr>
      <w:tr w:rsidR="004B193A" w14:paraId="08E3DF0B" w14:textId="77777777" w:rsidTr="009512AB">
        <w:trPr>
          <w:trHeight w:val="1322"/>
        </w:trPr>
        <w:tc>
          <w:tcPr>
            <w:tcW w:w="1975" w:type="dxa"/>
          </w:tcPr>
          <w:p w14:paraId="0095E5E9" w14:textId="77777777" w:rsidR="004B193A" w:rsidRPr="006D1BDA" w:rsidRDefault="004B193A" w:rsidP="009512AB">
            <w:pPr>
              <w:jc w:val="center"/>
              <w:rPr>
                <w:rFonts w:ascii="Times New Roman" w:hAnsi="Times New Roman" w:cs="Times New Roman"/>
                <w:sz w:val="22"/>
                <w:szCs w:val="22"/>
              </w:rPr>
            </w:pPr>
          </w:p>
          <w:p w14:paraId="11A1DC50" w14:textId="77777777" w:rsidR="004B193A" w:rsidRPr="006D1BD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 xml:space="preserve">Satisfactory </w:t>
            </w:r>
          </w:p>
          <w:p w14:paraId="098D932D" w14:textId="77777777" w:rsidR="004B193A" w:rsidRPr="006D1BD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5 points</w:t>
            </w:r>
          </w:p>
        </w:tc>
        <w:tc>
          <w:tcPr>
            <w:tcW w:w="7560" w:type="dxa"/>
          </w:tcPr>
          <w:p w14:paraId="1753E77A" w14:textId="77777777" w:rsidR="004B193A" w:rsidRPr="000675BF" w:rsidRDefault="004B193A" w:rsidP="009512AB">
            <w:pPr>
              <w:rPr>
                <w:sz w:val="22"/>
                <w:szCs w:val="22"/>
              </w:rPr>
            </w:pPr>
            <w:r w:rsidRPr="000675BF">
              <w:rPr>
                <w:rFonts w:ascii="Times New Roman" w:hAnsi="Times New Roman" w:cs="Times New Roman"/>
                <w:sz w:val="22"/>
                <w:szCs w:val="22"/>
              </w:rPr>
              <w:t xml:space="preserve">Reveals an adequate knowledge of the various literary, critical, and historical traditions associated with the student’s period of </w:t>
            </w:r>
            <w:proofErr w:type="gramStart"/>
            <w:r w:rsidRPr="000675BF">
              <w:rPr>
                <w:rFonts w:ascii="Times New Roman" w:hAnsi="Times New Roman" w:cs="Times New Roman"/>
                <w:sz w:val="22"/>
                <w:szCs w:val="22"/>
              </w:rPr>
              <w:t>study, but</w:t>
            </w:r>
            <w:proofErr w:type="gramEnd"/>
            <w:r w:rsidRPr="000675BF">
              <w:rPr>
                <w:rFonts w:ascii="Times New Roman" w:hAnsi="Times New Roman" w:cs="Times New Roman"/>
                <w:sz w:val="22"/>
                <w:szCs w:val="22"/>
              </w:rPr>
              <w:t xml:space="preserve"> may have some factual or interpretive errors. Offers an </w:t>
            </w:r>
            <w:r>
              <w:rPr>
                <w:rFonts w:ascii="Times New Roman" w:hAnsi="Times New Roman" w:cs="Times New Roman"/>
                <w:sz w:val="22"/>
                <w:szCs w:val="22"/>
              </w:rPr>
              <w:t>at least basic</w:t>
            </w:r>
            <w:r w:rsidRPr="000675BF">
              <w:rPr>
                <w:rFonts w:ascii="Times New Roman" w:hAnsi="Times New Roman" w:cs="Times New Roman"/>
                <w:sz w:val="22"/>
                <w:szCs w:val="22"/>
              </w:rPr>
              <w:t xml:space="preserve"> analysis of the primary and secondary texts informing the student’s area of specialization</w:t>
            </w:r>
            <w:r>
              <w:rPr>
                <w:rFonts w:ascii="Times New Roman" w:hAnsi="Times New Roman" w:cs="Times New Roman"/>
                <w:sz w:val="22"/>
                <w:szCs w:val="22"/>
              </w:rPr>
              <w:t>.</w:t>
            </w:r>
          </w:p>
        </w:tc>
      </w:tr>
      <w:tr w:rsidR="004B193A" w14:paraId="2AE171A8" w14:textId="77777777" w:rsidTr="009512AB">
        <w:tc>
          <w:tcPr>
            <w:tcW w:w="1975" w:type="dxa"/>
          </w:tcPr>
          <w:p w14:paraId="28F06F2B" w14:textId="77777777" w:rsidR="004B193A" w:rsidRPr="006D1BDA" w:rsidRDefault="004B193A" w:rsidP="009512AB">
            <w:pPr>
              <w:rPr>
                <w:rFonts w:ascii="Times New Roman" w:hAnsi="Times New Roman" w:cs="Times New Roman"/>
                <w:sz w:val="22"/>
                <w:szCs w:val="22"/>
              </w:rPr>
            </w:pPr>
          </w:p>
          <w:p w14:paraId="2AE58F5D"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 xml:space="preserve">Unsatisfactory </w:t>
            </w:r>
          </w:p>
          <w:p w14:paraId="43B9B099"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0 points</w:t>
            </w:r>
          </w:p>
          <w:p w14:paraId="45B8BC8E" w14:textId="77777777" w:rsidR="004B193A" w:rsidRPr="006D1BDA" w:rsidRDefault="004B193A" w:rsidP="009512AB">
            <w:pPr>
              <w:jc w:val="center"/>
              <w:rPr>
                <w:rFonts w:ascii="Times New Roman" w:hAnsi="Times New Roman" w:cs="Times New Roman"/>
                <w:sz w:val="22"/>
                <w:szCs w:val="22"/>
              </w:rPr>
            </w:pPr>
          </w:p>
        </w:tc>
        <w:tc>
          <w:tcPr>
            <w:tcW w:w="7560" w:type="dxa"/>
          </w:tcPr>
          <w:p w14:paraId="5B266302" w14:textId="77777777" w:rsidR="004B193A" w:rsidRDefault="004B193A" w:rsidP="009512AB">
            <w:pPr>
              <w:rPr>
                <w:rFonts w:ascii="Times New Roman" w:hAnsi="Times New Roman" w:cs="Times New Roman"/>
                <w:sz w:val="22"/>
                <w:szCs w:val="22"/>
              </w:rPr>
            </w:pPr>
            <w:r w:rsidRPr="000675BF">
              <w:rPr>
                <w:rFonts w:ascii="Times New Roman" w:hAnsi="Times New Roman" w:cs="Times New Roman"/>
                <w:sz w:val="22"/>
                <w:szCs w:val="22"/>
              </w:rPr>
              <w:t>Fails to reveal an informed understanding of the various literary, critical, and historical traditions associated with the student’s period of study, confusing significant concepts and offering significant interpretive errors. No discernable thesis or objectively false in its analysis of the primary and secondary texts informing the student’s area of specialization</w:t>
            </w:r>
            <w:r>
              <w:rPr>
                <w:rFonts w:ascii="Times New Roman" w:hAnsi="Times New Roman" w:cs="Times New Roman"/>
                <w:sz w:val="22"/>
                <w:szCs w:val="22"/>
              </w:rPr>
              <w:t>.</w:t>
            </w:r>
          </w:p>
          <w:p w14:paraId="6AB1323E" w14:textId="77777777" w:rsidR="004B193A" w:rsidRPr="000675BF" w:rsidRDefault="004B193A" w:rsidP="009512AB">
            <w:pPr>
              <w:rPr>
                <w:sz w:val="22"/>
                <w:szCs w:val="22"/>
              </w:rPr>
            </w:pPr>
          </w:p>
        </w:tc>
      </w:tr>
    </w:tbl>
    <w:p w14:paraId="25D1FA8C" w14:textId="77777777" w:rsidR="004B193A" w:rsidRDefault="004B193A" w:rsidP="004B193A"/>
    <w:tbl>
      <w:tblPr>
        <w:tblStyle w:val="TableGrid"/>
        <w:tblW w:w="9535" w:type="dxa"/>
        <w:tblLook w:val="04A0" w:firstRow="1" w:lastRow="0" w:firstColumn="1" w:lastColumn="0" w:noHBand="0" w:noVBand="1"/>
      </w:tblPr>
      <w:tblGrid>
        <w:gridCol w:w="1975"/>
        <w:gridCol w:w="7560"/>
      </w:tblGrid>
      <w:tr w:rsidR="004B193A" w14:paraId="35DAFAEC" w14:textId="77777777" w:rsidTr="009512AB">
        <w:tc>
          <w:tcPr>
            <w:tcW w:w="9535" w:type="dxa"/>
            <w:gridSpan w:val="2"/>
            <w:shd w:val="clear" w:color="auto" w:fill="E7E6E6" w:themeFill="background2"/>
          </w:tcPr>
          <w:p w14:paraId="03858F66" w14:textId="77777777" w:rsidR="004B193A" w:rsidRPr="00B91F8B" w:rsidRDefault="004B193A" w:rsidP="009512AB">
            <w:pPr>
              <w:rPr>
                <w:rFonts w:ascii="Times New Roman" w:hAnsi="Times New Roman" w:cs="Times New Roman"/>
              </w:rPr>
            </w:pPr>
            <w:r w:rsidRPr="00441BE5">
              <w:rPr>
                <w:rFonts w:ascii="Times New Roman" w:hAnsi="Times New Roman" w:cs="Times New Roman"/>
                <w:b/>
              </w:rPr>
              <w:t>Measurable Learning Outcome 2:</w:t>
            </w:r>
            <w:r>
              <w:rPr>
                <w:rFonts w:ascii="Times New Roman" w:hAnsi="Times New Roman" w:cs="Times New Roman"/>
              </w:rPr>
              <w:t xml:space="preserve"> </w:t>
            </w:r>
            <w:r w:rsidRPr="00441BE5">
              <w:rPr>
                <w:rFonts w:ascii="Times New Roman" w:hAnsi="Times New Roman" w:cs="Times New Roman"/>
              </w:rPr>
              <w:t>Acquire familiarity with, and experience in, the components of advanced scholarly research, utilizing varied research methods and bibliographic resources in independent research projects</w:t>
            </w:r>
          </w:p>
        </w:tc>
      </w:tr>
      <w:tr w:rsidR="004B193A" w14:paraId="36CD0401" w14:textId="77777777" w:rsidTr="009512AB">
        <w:trPr>
          <w:trHeight w:val="566"/>
        </w:trPr>
        <w:tc>
          <w:tcPr>
            <w:tcW w:w="1975" w:type="dxa"/>
          </w:tcPr>
          <w:p w14:paraId="2CD8F26C" w14:textId="77777777" w:rsidR="004B193A" w:rsidRDefault="004B193A" w:rsidP="009512AB">
            <w:pPr>
              <w:jc w:val="center"/>
              <w:rPr>
                <w:rFonts w:ascii="Times New Roman" w:hAnsi="Times New Roman" w:cs="Times New Roman"/>
                <w:sz w:val="22"/>
                <w:szCs w:val="22"/>
              </w:rPr>
            </w:pPr>
          </w:p>
          <w:p w14:paraId="19D8E60A" w14:textId="77777777" w:rsidR="004B193A" w:rsidRPr="00F560F5" w:rsidRDefault="004B193A" w:rsidP="009512AB">
            <w:pPr>
              <w:jc w:val="center"/>
              <w:rPr>
                <w:rFonts w:ascii="Times New Roman" w:hAnsi="Times New Roman" w:cs="Times New Roman"/>
                <w:sz w:val="22"/>
                <w:szCs w:val="22"/>
              </w:rPr>
            </w:pPr>
            <w:r w:rsidRPr="00F560F5">
              <w:rPr>
                <w:rFonts w:ascii="Times New Roman" w:hAnsi="Times New Roman" w:cs="Times New Roman"/>
                <w:sz w:val="22"/>
                <w:szCs w:val="22"/>
              </w:rPr>
              <w:t xml:space="preserve">Exceptional </w:t>
            </w:r>
          </w:p>
          <w:p w14:paraId="30FDC814" w14:textId="77777777" w:rsidR="004B193A" w:rsidRPr="000675BF" w:rsidRDefault="004B193A" w:rsidP="009512AB">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12F174D2" w14:textId="77777777" w:rsidR="004B193A" w:rsidRDefault="004B193A" w:rsidP="009512AB">
            <w:pPr>
              <w:rPr>
                <w:rFonts w:ascii="Times New Roman" w:hAnsi="Times New Roman" w:cs="Times New Roman"/>
                <w:sz w:val="22"/>
                <w:szCs w:val="22"/>
              </w:rPr>
            </w:pPr>
            <w:r w:rsidRPr="000675BF">
              <w:rPr>
                <w:rFonts w:ascii="Times New Roman" w:hAnsi="Times New Roman" w:cs="Times New Roman"/>
                <w:sz w:val="22"/>
                <w:szCs w:val="22"/>
              </w:rPr>
              <w:t xml:space="preserve">Provides substantial and nuanced evidence appropriate to the student’s area of specialization and uses this evidence </w:t>
            </w:r>
            <w:r>
              <w:rPr>
                <w:rFonts w:ascii="Times New Roman" w:hAnsi="Times New Roman" w:cs="Times New Roman"/>
                <w:sz w:val="22"/>
                <w:szCs w:val="22"/>
              </w:rPr>
              <w:t>strategically</w:t>
            </w:r>
            <w:r w:rsidRPr="000675BF">
              <w:rPr>
                <w:rFonts w:ascii="Times New Roman" w:hAnsi="Times New Roman" w:cs="Times New Roman"/>
                <w:sz w:val="22"/>
                <w:szCs w:val="22"/>
              </w:rPr>
              <w:t>. Apt and precise diction; use of syntactic variety; clear command of academic discourse</w:t>
            </w:r>
            <w:r>
              <w:rPr>
                <w:rFonts w:ascii="Times New Roman" w:hAnsi="Times New Roman" w:cs="Times New Roman"/>
                <w:sz w:val="22"/>
                <w:szCs w:val="22"/>
              </w:rPr>
              <w:t>.</w:t>
            </w:r>
          </w:p>
          <w:p w14:paraId="541B4FB0" w14:textId="77777777" w:rsidR="004B193A" w:rsidRPr="000675BF" w:rsidRDefault="004B193A" w:rsidP="009512AB">
            <w:pPr>
              <w:rPr>
                <w:rFonts w:ascii="Times New Roman" w:hAnsi="Times New Roman" w:cs="Times New Roman"/>
              </w:rPr>
            </w:pPr>
          </w:p>
        </w:tc>
      </w:tr>
      <w:tr w:rsidR="004B193A" w14:paraId="207CF3EA" w14:textId="77777777" w:rsidTr="009512AB">
        <w:tc>
          <w:tcPr>
            <w:tcW w:w="1975" w:type="dxa"/>
          </w:tcPr>
          <w:p w14:paraId="721F77DF" w14:textId="77777777" w:rsidR="004B193A" w:rsidRDefault="004B193A" w:rsidP="009512AB">
            <w:pPr>
              <w:jc w:val="center"/>
              <w:rPr>
                <w:rFonts w:ascii="Times New Roman" w:hAnsi="Times New Roman" w:cs="Times New Roman"/>
                <w:sz w:val="22"/>
                <w:szCs w:val="22"/>
              </w:rPr>
            </w:pPr>
          </w:p>
          <w:p w14:paraId="3C469A3A" w14:textId="77777777" w:rsidR="004B193A" w:rsidRDefault="004B193A" w:rsidP="009512AB">
            <w:pPr>
              <w:jc w:val="center"/>
              <w:rPr>
                <w:rFonts w:ascii="Times New Roman" w:hAnsi="Times New Roman" w:cs="Times New Roman"/>
                <w:sz w:val="22"/>
                <w:szCs w:val="22"/>
              </w:rPr>
            </w:pPr>
            <w:r w:rsidRPr="000675BF">
              <w:rPr>
                <w:rFonts w:ascii="Times New Roman" w:hAnsi="Times New Roman" w:cs="Times New Roman"/>
                <w:sz w:val="22"/>
                <w:szCs w:val="22"/>
              </w:rPr>
              <w:t>Excellent</w:t>
            </w:r>
            <w:r>
              <w:rPr>
                <w:rFonts w:ascii="Times New Roman" w:hAnsi="Times New Roman" w:cs="Times New Roman"/>
                <w:sz w:val="22"/>
                <w:szCs w:val="22"/>
              </w:rPr>
              <w:t xml:space="preserve"> </w:t>
            </w:r>
          </w:p>
          <w:p w14:paraId="7B97726B" w14:textId="77777777" w:rsidR="004B193A" w:rsidRPr="000675BF" w:rsidRDefault="004B193A" w:rsidP="009512AB">
            <w:pPr>
              <w:jc w:val="center"/>
              <w:rPr>
                <w:rFonts w:ascii="Times New Roman" w:hAnsi="Times New Roman" w:cs="Times New Roman"/>
                <w:sz w:val="22"/>
                <w:szCs w:val="22"/>
              </w:rPr>
            </w:pPr>
            <w:r>
              <w:rPr>
                <w:rFonts w:ascii="Times New Roman" w:hAnsi="Times New Roman" w:cs="Times New Roman"/>
                <w:sz w:val="22"/>
                <w:szCs w:val="22"/>
              </w:rPr>
              <w:t>7 points</w:t>
            </w:r>
          </w:p>
          <w:p w14:paraId="7C0D5A6B" w14:textId="77777777" w:rsidR="004B193A" w:rsidRPr="000675BF" w:rsidRDefault="004B193A" w:rsidP="009512AB">
            <w:pPr>
              <w:jc w:val="center"/>
              <w:rPr>
                <w:rFonts w:ascii="Times New Roman" w:hAnsi="Times New Roman" w:cs="Times New Roman"/>
                <w:sz w:val="22"/>
                <w:szCs w:val="22"/>
              </w:rPr>
            </w:pPr>
          </w:p>
        </w:tc>
        <w:tc>
          <w:tcPr>
            <w:tcW w:w="7560" w:type="dxa"/>
          </w:tcPr>
          <w:p w14:paraId="2752BC46" w14:textId="77777777" w:rsidR="004B193A" w:rsidRDefault="004B193A" w:rsidP="009512AB">
            <w:pPr>
              <w:rPr>
                <w:rFonts w:ascii="Times New Roman" w:hAnsi="Times New Roman" w:cs="Times New Roman"/>
                <w:sz w:val="22"/>
                <w:szCs w:val="22"/>
              </w:rPr>
            </w:pPr>
            <w:r w:rsidRPr="000675BF">
              <w:rPr>
                <w:rFonts w:ascii="Times New Roman" w:hAnsi="Times New Roman" w:cs="Times New Roman"/>
                <w:sz w:val="22"/>
                <w:szCs w:val="22"/>
              </w:rPr>
              <w:t xml:space="preserve">Provides sufficient evidence appropriate to the student’s area of specialization and makes an effort to contextualize it. Clear command of standard English, including concise language and </w:t>
            </w:r>
            <w:r>
              <w:rPr>
                <w:rFonts w:ascii="Times New Roman" w:hAnsi="Times New Roman" w:cs="Times New Roman"/>
                <w:sz w:val="22"/>
                <w:szCs w:val="22"/>
              </w:rPr>
              <w:t>generally correct grammar</w:t>
            </w:r>
            <w:r w:rsidRPr="000675BF">
              <w:rPr>
                <w:rFonts w:ascii="Times New Roman" w:hAnsi="Times New Roman" w:cs="Times New Roman"/>
                <w:sz w:val="22"/>
                <w:szCs w:val="22"/>
              </w:rPr>
              <w:t xml:space="preserve">, </w:t>
            </w:r>
            <w:r>
              <w:rPr>
                <w:rFonts w:ascii="Times New Roman" w:hAnsi="Times New Roman" w:cs="Times New Roman"/>
                <w:sz w:val="22"/>
                <w:szCs w:val="22"/>
              </w:rPr>
              <w:t>that</w:t>
            </w:r>
            <w:r w:rsidRPr="000675BF">
              <w:rPr>
                <w:rFonts w:ascii="Times New Roman" w:hAnsi="Times New Roman" w:cs="Times New Roman"/>
                <w:sz w:val="22"/>
                <w:szCs w:val="22"/>
              </w:rPr>
              <w:t xml:space="preserve"> demonstrates an informed understanding of academic discourse</w:t>
            </w:r>
            <w:r>
              <w:rPr>
                <w:rFonts w:ascii="Times New Roman" w:hAnsi="Times New Roman" w:cs="Times New Roman"/>
                <w:sz w:val="22"/>
                <w:szCs w:val="22"/>
              </w:rPr>
              <w:t>.</w:t>
            </w:r>
          </w:p>
          <w:p w14:paraId="2C0D9795" w14:textId="77777777" w:rsidR="004B193A" w:rsidRPr="000675BF" w:rsidRDefault="004B193A" w:rsidP="009512AB">
            <w:pPr>
              <w:rPr>
                <w:rFonts w:ascii="Times New Roman" w:hAnsi="Times New Roman" w:cs="Times New Roman"/>
              </w:rPr>
            </w:pPr>
          </w:p>
        </w:tc>
      </w:tr>
      <w:tr w:rsidR="004B193A" w14:paraId="447E6B34" w14:textId="77777777" w:rsidTr="009512AB">
        <w:trPr>
          <w:trHeight w:val="260"/>
        </w:trPr>
        <w:tc>
          <w:tcPr>
            <w:tcW w:w="1975" w:type="dxa"/>
          </w:tcPr>
          <w:p w14:paraId="74A6281A" w14:textId="77777777" w:rsidR="004B193A" w:rsidRDefault="004B193A" w:rsidP="009512AB">
            <w:pPr>
              <w:jc w:val="center"/>
              <w:rPr>
                <w:rFonts w:ascii="Times New Roman" w:hAnsi="Times New Roman" w:cs="Times New Roman"/>
                <w:sz w:val="22"/>
                <w:szCs w:val="22"/>
              </w:rPr>
            </w:pPr>
          </w:p>
          <w:p w14:paraId="255D7451" w14:textId="77777777" w:rsidR="004B193A" w:rsidRDefault="004B193A" w:rsidP="009512AB">
            <w:pPr>
              <w:jc w:val="center"/>
              <w:rPr>
                <w:rFonts w:ascii="Times New Roman" w:hAnsi="Times New Roman" w:cs="Times New Roman"/>
                <w:sz w:val="22"/>
                <w:szCs w:val="22"/>
              </w:rPr>
            </w:pPr>
          </w:p>
          <w:p w14:paraId="0D441F78" w14:textId="77777777" w:rsidR="004B193A" w:rsidRDefault="004B193A" w:rsidP="009512AB">
            <w:pPr>
              <w:jc w:val="center"/>
              <w:rPr>
                <w:rFonts w:ascii="Times New Roman" w:hAnsi="Times New Roman" w:cs="Times New Roman"/>
                <w:sz w:val="22"/>
                <w:szCs w:val="22"/>
              </w:rPr>
            </w:pPr>
            <w:r w:rsidRPr="000675BF">
              <w:rPr>
                <w:rFonts w:ascii="Times New Roman" w:hAnsi="Times New Roman" w:cs="Times New Roman"/>
                <w:sz w:val="22"/>
                <w:szCs w:val="22"/>
              </w:rPr>
              <w:t>Satisfactory</w:t>
            </w:r>
            <w:r>
              <w:rPr>
                <w:rFonts w:ascii="Times New Roman" w:hAnsi="Times New Roman" w:cs="Times New Roman"/>
                <w:sz w:val="22"/>
                <w:szCs w:val="22"/>
              </w:rPr>
              <w:t xml:space="preserve"> </w:t>
            </w:r>
          </w:p>
          <w:p w14:paraId="0978027C" w14:textId="77777777" w:rsidR="004B193A" w:rsidRPr="000675BF" w:rsidRDefault="004B193A" w:rsidP="009512AB">
            <w:pPr>
              <w:jc w:val="center"/>
              <w:rPr>
                <w:rFonts w:ascii="Times New Roman" w:hAnsi="Times New Roman" w:cs="Times New Roman"/>
                <w:sz w:val="22"/>
                <w:szCs w:val="22"/>
              </w:rPr>
            </w:pPr>
            <w:r>
              <w:rPr>
                <w:rFonts w:ascii="Times New Roman" w:hAnsi="Times New Roman" w:cs="Times New Roman"/>
                <w:sz w:val="22"/>
                <w:szCs w:val="22"/>
              </w:rPr>
              <w:t>5 points</w:t>
            </w:r>
          </w:p>
          <w:p w14:paraId="5C03F1E3" w14:textId="77777777" w:rsidR="004B193A" w:rsidRPr="000675BF" w:rsidRDefault="004B193A" w:rsidP="009512AB">
            <w:pPr>
              <w:rPr>
                <w:sz w:val="22"/>
                <w:szCs w:val="22"/>
              </w:rPr>
            </w:pPr>
          </w:p>
        </w:tc>
        <w:tc>
          <w:tcPr>
            <w:tcW w:w="7560" w:type="dxa"/>
          </w:tcPr>
          <w:p w14:paraId="1E637D10" w14:textId="77777777" w:rsidR="004B193A" w:rsidRDefault="004B193A" w:rsidP="009512AB">
            <w:pPr>
              <w:rPr>
                <w:rFonts w:ascii="Times New Roman" w:hAnsi="Times New Roman" w:cs="Times New Roman"/>
                <w:sz w:val="22"/>
                <w:szCs w:val="22"/>
              </w:rPr>
            </w:pPr>
            <w:r w:rsidRPr="000675BF">
              <w:rPr>
                <w:rFonts w:ascii="Times New Roman" w:hAnsi="Times New Roman" w:cs="Times New Roman"/>
                <w:sz w:val="22"/>
                <w:szCs w:val="22"/>
              </w:rPr>
              <w:t>Provides sufficient, but not always properly integrated, evidence appropriate to the student’s area of specialization. Some grammar related issues</w:t>
            </w:r>
            <w:r>
              <w:rPr>
                <w:rFonts w:ascii="Times New Roman" w:hAnsi="Times New Roman" w:cs="Times New Roman"/>
                <w:sz w:val="22"/>
                <w:szCs w:val="22"/>
              </w:rPr>
              <w:t xml:space="preserve"> can be tolerated</w:t>
            </w:r>
            <w:r w:rsidRPr="000675BF">
              <w:rPr>
                <w:rFonts w:ascii="Times New Roman" w:hAnsi="Times New Roman" w:cs="Times New Roman"/>
                <w:sz w:val="22"/>
                <w:szCs w:val="22"/>
              </w:rPr>
              <w:t>, including the occasional use of imprecise diction, awkward syntax, or wordiness, but demonstrates an awareness of the conventions associated with academic discourse</w:t>
            </w:r>
            <w:r>
              <w:rPr>
                <w:rFonts w:ascii="Times New Roman" w:hAnsi="Times New Roman" w:cs="Times New Roman"/>
                <w:sz w:val="22"/>
                <w:szCs w:val="22"/>
              </w:rPr>
              <w:t>.</w:t>
            </w:r>
            <w:r w:rsidRPr="000675BF">
              <w:rPr>
                <w:rFonts w:ascii="Times New Roman" w:hAnsi="Times New Roman" w:cs="Times New Roman"/>
                <w:sz w:val="22"/>
                <w:szCs w:val="22"/>
              </w:rPr>
              <w:t xml:space="preserve"> </w:t>
            </w:r>
          </w:p>
          <w:p w14:paraId="69C1A25B" w14:textId="77777777" w:rsidR="004B193A" w:rsidRDefault="004B193A" w:rsidP="009512AB"/>
        </w:tc>
      </w:tr>
      <w:tr w:rsidR="004B193A" w14:paraId="3702A6A3" w14:textId="77777777" w:rsidTr="009512AB">
        <w:trPr>
          <w:trHeight w:val="980"/>
        </w:trPr>
        <w:tc>
          <w:tcPr>
            <w:tcW w:w="1975" w:type="dxa"/>
          </w:tcPr>
          <w:p w14:paraId="40E3842E" w14:textId="77777777" w:rsidR="004B193A" w:rsidRDefault="004B193A" w:rsidP="009512AB">
            <w:pPr>
              <w:jc w:val="center"/>
              <w:rPr>
                <w:rFonts w:ascii="Times New Roman" w:hAnsi="Times New Roman" w:cs="Times New Roman"/>
                <w:sz w:val="22"/>
                <w:szCs w:val="22"/>
              </w:rPr>
            </w:pPr>
          </w:p>
          <w:p w14:paraId="7352ADD4" w14:textId="77777777" w:rsidR="004B193A" w:rsidRDefault="004B193A" w:rsidP="009512AB">
            <w:pPr>
              <w:jc w:val="center"/>
              <w:rPr>
                <w:rFonts w:ascii="Times New Roman" w:hAnsi="Times New Roman" w:cs="Times New Roman"/>
                <w:sz w:val="22"/>
                <w:szCs w:val="22"/>
              </w:rPr>
            </w:pPr>
            <w:r w:rsidRPr="000675BF">
              <w:rPr>
                <w:rFonts w:ascii="Times New Roman" w:hAnsi="Times New Roman" w:cs="Times New Roman"/>
                <w:sz w:val="22"/>
                <w:szCs w:val="22"/>
              </w:rPr>
              <w:t>Unsatisfactory</w:t>
            </w:r>
            <w:r>
              <w:rPr>
                <w:rFonts w:ascii="Times New Roman" w:hAnsi="Times New Roman" w:cs="Times New Roman"/>
                <w:sz w:val="22"/>
                <w:szCs w:val="22"/>
              </w:rPr>
              <w:t xml:space="preserve"> </w:t>
            </w:r>
          </w:p>
          <w:p w14:paraId="45E3850B" w14:textId="77777777" w:rsidR="004B193A" w:rsidRPr="000675BF" w:rsidRDefault="004B193A" w:rsidP="009512AB">
            <w:pPr>
              <w:jc w:val="center"/>
              <w:rPr>
                <w:rFonts w:ascii="Times New Roman" w:hAnsi="Times New Roman" w:cs="Times New Roman"/>
                <w:sz w:val="22"/>
                <w:szCs w:val="22"/>
              </w:rPr>
            </w:pPr>
            <w:r>
              <w:rPr>
                <w:rFonts w:ascii="Times New Roman" w:hAnsi="Times New Roman" w:cs="Times New Roman"/>
                <w:sz w:val="22"/>
                <w:szCs w:val="22"/>
              </w:rPr>
              <w:t>0 points</w:t>
            </w:r>
          </w:p>
          <w:p w14:paraId="4473C78B" w14:textId="77777777" w:rsidR="004B193A" w:rsidRPr="000675BF" w:rsidRDefault="004B193A" w:rsidP="009512AB">
            <w:pPr>
              <w:jc w:val="center"/>
              <w:rPr>
                <w:sz w:val="22"/>
                <w:szCs w:val="22"/>
              </w:rPr>
            </w:pPr>
          </w:p>
        </w:tc>
        <w:tc>
          <w:tcPr>
            <w:tcW w:w="7560" w:type="dxa"/>
          </w:tcPr>
          <w:p w14:paraId="28BB0374" w14:textId="77777777" w:rsidR="004B193A" w:rsidRDefault="004B193A" w:rsidP="009512AB">
            <w:pPr>
              <w:rPr>
                <w:rFonts w:ascii="Times New Roman" w:hAnsi="Times New Roman" w:cs="Times New Roman"/>
                <w:sz w:val="22"/>
                <w:szCs w:val="22"/>
              </w:rPr>
            </w:pPr>
            <w:r w:rsidRPr="000675BF">
              <w:rPr>
                <w:rFonts w:ascii="Times New Roman" w:hAnsi="Times New Roman" w:cs="Times New Roman"/>
                <w:sz w:val="22"/>
                <w:szCs w:val="22"/>
              </w:rPr>
              <w:lastRenderedPageBreak/>
              <w:t xml:space="preserve">Evidence simply not cited, merely anecdotal, or incorrectly incorporated, revealing failure to understand appropriate evidence use for </w:t>
            </w:r>
            <w:r>
              <w:rPr>
                <w:rFonts w:ascii="Times New Roman" w:hAnsi="Times New Roman" w:cs="Times New Roman"/>
                <w:sz w:val="22"/>
                <w:szCs w:val="22"/>
              </w:rPr>
              <w:t>the student’s</w:t>
            </w:r>
            <w:r w:rsidRPr="000675BF">
              <w:rPr>
                <w:rFonts w:ascii="Times New Roman" w:hAnsi="Times New Roman" w:cs="Times New Roman"/>
                <w:sz w:val="22"/>
                <w:szCs w:val="22"/>
              </w:rPr>
              <w:t xml:space="preserve"> area of specialization. Lacks clear understanding of standard English and</w:t>
            </w:r>
            <w:r>
              <w:rPr>
                <w:rFonts w:ascii="Times New Roman" w:hAnsi="Times New Roman" w:cs="Times New Roman"/>
                <w:sz w:val="22"/>
                <w:szCs w:val="22"/>
              </w:rPr>
              <w:t xml:space="preserve"> the</w:t>
            </w:r>
            <w:r w:rsidRPr="000675BF">
              <w:rPr>
                <w:rFonts w:ascii="Times New Roman" w:hAnsi="Times New Roman" w:cs="Times New Roman"/>
                <w:sz w:val="22"/>
                <w:szCs w:val="22"/>
              </w:rPr>
              <w:t xml:space="preserve"> basic conventions of academic discourse</w:t>
            </w:r>
            <w:r>
              <w:rPr>
                <w:rFonts w:ascii="Times New Roman" w:hAnsi="Times New Roman" w:cs="Times New Roman"/>
                <w:sz w:val="22"/>
                <w:szCs w:val="22"/>
              </w:rPr>
              <w:t>.</w:t>
            </w:r>
          </w:p>
          <w:p w14:paraId="29803875" w14:textId="77777777" w:rsidR="004B193A" w:rsidRPr="006D1BDA" w:rsidRDefault="004B193A" w:rsidP="009512AB">
            <w:pPr>
              <w:rPr>
                <w:rFonts w:ascii="Times New Roman" w:hAnsi="Times New Roman" w:cs="Times New Roman"/>
                <w:sz w:val="22"/>
                <w:szCs w:val="22"/>
              </w:rPr>
            </w:pPr>
          </w:p>
        </w:tc>
      </w:tr>
    </w:tbl>
    <w:p w14:paraId="7BBF95A6" w14:textId="77777777" w:rsidR="004B193A" w:rsidRDefault="004B193A" w:rsidP="004B193A"/>
    <w:tbl>
      <w:tblPr>
        <w:tblStyle w:val="TableGrid"/>
        <w:tblW w:w="9535" w:type="dxa"/>
        <w:tblLook w:val="04A0" w:firstRow="1" w:lastRow="0" w:firstColumn="1" w:lastColumn="0" w:noHBand="0" w:noVBand="1"/>
      </w:tblPr>
      <w:tblGrid>
        <w:gridCol w:w="1975"/>
        <w:gridCol w:w="7560"/>
      </w:tblGrid>
      <w:tr w:rsidR="004B193A" w14:paraId="5DF13A24" w14:textId="77777777" w:rsidTr="009512AB">
        <w:tc>
          <w:tcPr>
            <w:tcW w:w="9535" w:type="dxa"/>
            <w:gridSpan w:val="2"/>
            <w:shd w:val="clear" w:color="auto" w:fill="E7E6E6" w:themeFill="background2"/>
          </w:tcPr>
          <w:p w14:paraId="7FDD0AB8" w14:textId="77777777" w:rsidR="004B193A" w:rsidRPr="00B91F8B" w:rsidRDefault="004B193A" w:rsidP="009512AB">
            <w:pPr>
              <w:rPr>
                <w:rFonts w:ascii="Times New Roman" w:hAnsi="Times New Roman" w:cs="Times New Roman"/>
              </w:rPr>
            </w:pPr>
            <w:r w:rsidRPr="004D4547">
              <w:rPr>
                <w:rFonts w:ascii="Times New Roman" w:hAnsi="Times New Roman" w:cs="Times New Roman"/>
                <w:b/>
              </w:rPr>
              <w:t>Measurable Learning Outcome 3:</w:t>
            </w:r>
            <w:r w:rsidRPr="004D4547">
              <w:rPr>
                <w:rFonts w:ascii="Times New Roman" w:hAnsi="Times New Roman" w:cs="Times New Roman"/>
              </w:rPr>
              <w:t xml:space="preserve"> </w:t>
            </w:r>
            <w:r>
              <w:rPr>
                <w:rFonts w:ascii="Times New Roman" w:hAnsi="Times New Roman" w:cs="Times New Roman"/>
              </w:rPr>
              <w:t>Cultivate</w:t>
            </w:r>
            <w:r w:rsidRPr="004D4547">
              <w:rPr>
                <w:rFonts w:ascii="Times New Roman" w:hAnsi="Times New Roman" w:cs="Times New Roman"/>
              </w:rPr>
              <w:t xml:space="preserve"> a familiarity with diverse systems of thought and ways of producing knowledge </w:t>
            </w:r>
            <w:r>
              <w:rPr>
                <w:rFonts w:ascii="Times New Roman" w:hAnsi="Times New Roman" w:cs="Times New Roman"/>
              </w:rPr>
              <w:t>that is sensitive</w:t>
            </w:r>
            <w:r w:rsidRPr="004D4547">
              <w:rPr>
                <w:rFonts w:ascii="Times New Roman" w:hAnsi="Times New Roman" w:cs="Times New Roman"/>
              </w:rPr>
              <w:t xml:space="preserve"> to cultural difference and the power structures that inform our academic discipline and society in general </w:t>
            </w:r>
          </w:p>
        </w:tc>
      </w:tr>
      <w:tr w:rsidR="004B193A" w14:paraId="6CA043E6" w14:textId="77777777" w:rsidTr="009512AB">
        <w:trPr>
          <w:trHeight w:val="341"/>
        </w:trPr>
        <w:tc>
          <w:tcPr>
            <w:tcW w:w="1975" w:type="dxa"/>
          </w:tcPr>
          <w:p w14:paraId="0A505651" w14:textId="77777777" w:rsidR="004B193A" w:rsidRPr="006D1BDA" w:rsidRDefault="004B193A" w:rsidP="009512AB">
            <w:pPr>
              <w:jc w:val="center"/>
              <w:rPr>
                <w:rFonts w:ascii="Times New Roman" w:hAnsi="Times New Roman" w:cs="Times New Roman"/>
                <w:sz w:val="22"/>
                <w:szCs w:val="22"/>
              </w:rPr>
            </w:pPr>
          </w:p>
          <w:p w14:paraId="470C0FBB"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 xml:space="preserve">Exceptional </w:t>
            </w:r>
          </w:p>
          <w:p w14:paraId="34C45C84"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6C1DF6C9" w14:textId="77777777" w:rsidR="004B193A" w:rsidRDefault="004B193A" w:rsidP="009512AB">
            <w:pPr>
              <w:rPr>
                <w:rFonts w:ascii="Times New Roman" w:hAnsi="Times New Roman" w:cs="Times New Roman"/>
                <w:sz w:val="22"/>
                <w:szCs w:val="22"/>
              </w:rPr>
            </w:pPr>
            <w:r>
              <w:rPr>
                <w:rFonts w:ascii="Times New Roman" w:hAnsi="Times New Roman" w:cs="Times New Roman"/>
                <w:sz w:val="22"/>
                <w:szCs w:val="22"/>
              </w:rPr>
              <w:t>Demonstrates</w:t>
            </w:r>
            <w:r w:rsidRPr="004D4547">
              <w:rPr>
                <w:rFonts w:ascii="Times New Roman" w:hAnsi="Times New Roman" w:cs="Times New Roman"/>
                <w:sz w:val="22"/>
                <w:szCs w:val="22"/>
              </w:rPr>
              <w:t xml:space="preserve"> the capacity to produce</w:t>
            </w:r>
            <w:r>
              <w:rPr>
                <w:rFonts w:ascii="Times New Roman" w:hAnsi="Times New Roman" w:cs="Times New Roman"/>
                <w:sz w:val="22"/>
                <w:szCs w:val="22"/>
              </w:rPr>
              <w:t xml:space="preserve"> </w:t>
            </w:r>
            <w:r w:rsidRPr="004D4547">
              <w:rPr>
                <w:rFonts w:ascii="Times New Roman" w:hAnsi="Times New Roman" w:cs="Times New Roman"/>
                <w:sz w:val="22"/>
                <w:szCs w:val="22"/>
              </w:rPr>
              <w:t xml:space="preserve">new </w:t>
            </w:r>
            <w:r>
              <w:rPr>
                <w:rFonts w:ascii="Times New Roman" w:hAnsi="Times New Roman" w:cs="Times New Roman"/>
                <w:sz w:val="22"/>
                <w:szCs w:val="22"/>
              </w:rPr>
              <w:t>knowledge within the discipline that contributes significantly to the scholarly discourse associated with student’s area of specialization. Shows mastery of the written genres most closely aligned with the students’ intended profession.</w:t>
            </w:r>
          </w:p>
          <w:p w14:paraId="54917E1F" w14:textId="77777777" w:rsidR="004B193A" w:rsidRPr="00B91F8B" w:rsidRDefault="004B193A" w:rsidP="009512AB">
            <w:pPr>
              <w:rPr>
                <w:rFonts w:ascii="Times New Roman" w:hAnsi="Times New Roman" w:cs="Times New Roman"/>
              </w:rPr>
            </w:pPr>
          </w:p>
        </w:tc>
      </w:tr>
      <w:tr w:rsidR="004B193A" w14:paraId="4F3A9595" w14:textId="77777777" w:rsidTr="009512AB">
        <w:trPr>
          <w:trHeight w:val="1070"/>
        </w:trPr>
        <w:tc>
          <w:tcPr>
            <w:tcW w:w="1975" w:type="dxa"/>
          </w:tcPr>
          <w:p w14:paraId="5B59CA2F" w14:textId="77777777" w:rsidR="004B193A" w:rsidRPr="006D1BDA" w:rsidRDefault="004B193A" w:rsidP="009512AB">
            <w:pPr>
              <w:jc w:val="center"/>
              <w:rPr>
                <w:rFonts w:ascii="Times New Roman" w:hAnsi="Times New Roman" w:cs="Times New Roman"/>
                <w:sz w:val="22"/>
                <w:szCs w:val="22"/>
              </w:rPr>
            </w:pPr>
          </w:p>
          <w:p w14:paraId="1EAE6231"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Excellent</w:t>
            </w:r>
            <w:r>
              <w:rPr>
                <w:rFonts w:ascii="Times New Roman" w:hAnsi="Times New Roman" w:cs="Times New Roman"/>
                <w:sz w:val="22"/>
                <w:szCs w:val="22"/>
              </w:rPr>
              <w:t xml:space="preserve"> </w:t>
            </w:r>
          </w:p>
          <w:p w14:paraId="22F9A19B"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7 points</w:t>
            </w:r>
          </w:p>
          <w:p w14:paraId="5DB98CCD" w14:textId="77777777" w:rsidR="004B193A" w:rsidRPr="006D1BDA" w:rsidRDefault="004B193A" w:rsidP="009512AB">
            <w:pPr>
              <w:jc w:val="center"/>
              <w:rPr>
                <w:rFonts w:ascii="Times New Roman" w:hAnsi="Times New Roman" w:cs="Times New Roman"/>
                <w:sz w:val="22"/>
                <w:szCs w:val="22"/>
              </w:rPr>
            </w:pPr>
          </w:p>
        </w:tc>
        <w:tc>
          <w:tcPr>
            <w:tcW w:w="7560" w:type="dxa"/>
          </w:tcPr>
          <w:p w14:paraId="325B77FB" w14:textId="77777777" w:rsidR="004B193A" w:rsidRDefault="004B193A" w:rsidP="009512AB">
            <w:pPr>
              <w:rPr>
                <w:rFonts w:ascii="Times New Roman" w:hAnsi="Times New Roman" w:cs="Times New Roman"/>
                <w:sz w:val="22"/>
                <w:szCs w:val="22"/>
              </w:rPr>
            </w:pPr>
            <w:r>
              <w:rPr>
                <w:rFonts w:ascii="Times New Roman" w:hAnsi="Times New Roman" w:cs="Times New Roman"/>
                <w:sz w:val="22"/>
                <w:szCs w:val="22"/>
              </w:rPr>
              <w:t>Demonstrates</w:t>
            </w:r>
            <w:r w:rsidRPr="004D4547">
              <w:rPr>
                <w:rFonts w:ascii="Times New Roman" w:hAnsi="Times New Roman" w:cs="Times New Roman"/>
                <w:sz w:val="22"/>
                <w:szCs w:val="22"/>
              </w:rPr>
              <w:t xml:space="preserve"> the capacity to produce</w:t>
            </w:r>
            <w:r>
              <w:rPr>
                <w:rFonts w:ascii="Times New Roman" w:hAnsi="Times New Roman" w:cs="Times New Roman"/>
                <w:sz w:val="22"/>
                <w:szCs w:val="22"/>
              </w:rPr>
              <w:t xml:space="preserve"> </w:t>
            </w:r>
            <w:r w:rsidRPr="004D4547">
              <w:rPr>
                <w:rFonts w:ascii="Times New Roman" w:hAnsi="Times New Roman" w:cs="Times New Roman"/>
                <w:sz w:val="22"/>
                <w:szCs w:val="22"/>
              </w:rPr>
              <w:t>new</w:t>
            </w:r>
            <w:r>
              <w:rPr>
                <w:rFonts w:ascii="Times New Roman" w:hAnsi="Times New Roman" w:cs="Times New Roman"/>
                <w:sz w:val="22"/>
                <w:szCs w:val="22"/>
              </w:rPr>
              <w:t>, but perhaps not significant,</w:t>
            </w:r>
            <w:r w:rsidRPr="004D4547">
              <w:rPr>
                <w:rFonts w:ascii="Times New Roman" w:hAnsi="Times New Roman" w:cs="Times New Roman"/>
                <w:sz w:val="22"/>
                <w:szCs w:val="22"/>
              </w:rPr>
              <w:t xml:space="preserve"> </w:t>
            </w:r>
            <w:r>
              <w:rPr>
                <w:rFonts w:ascii="Times New Roman" w:hAnsi="Times New Roman" w:cs="Times New Roman"/>
                <w:sz w:val="22"/>
                <w:szCs w:val="22"/>
              </w:rPr>
              <w:t>knowledge within the discipline, revealing an awareness of recent trends associated with the student’s area of specialization. Shows some mastery of the written genres most closely aligned with the students’ intended profession.</w:t>
            </w:r>
          </w:p>
          <w:p w14:paraId="7A16940C" w14:textId="77777777" w:rsidR="004B193A" w:rsidRPr="00B91F8B" w:rsidRDefault="004B193A" w:rsidP="009512AB">
            <w:pPr>
              <w:rPr>
                <w:rFonts w:ascii="Times New Roman" w:hAnsi="Times New Roman" w:cs="Times New Roman"/>
              </w:rPr>
            </w:pPr>
          </w:p>
        </w:tc>
      </w:tr>
      <w:tr w:rsidR="004B193A" w14:paraId="5FA11B3F" w14:textId="77777777" w:rsidTr="009512AB">
        <w:trPr>
          <w:trHeight w:val="260"/>
        </w:trPr>
        <w:tc>
          <w:tcPr>
            <w:tcW w:w="1975" w:type="dxa"/>
          </w:tcPr>
          <w:p w14:paraId="15894D79" w14:textId="77777777" w:rsidR="004B193A" w:rsidRPr="006D1BDA" w:rsidRDefault="004B193A" w:rsidP="009512AB">
            <w:pPr>
              <w:jc w:val="center"/>
              <w:rPr>
                <w:rFonts w:ascii="Times New Roman" w:hAnsi="Times New Roman" w:cs="Times New Roman"/>
                <w:sz w:val="22"/>
                <w:szCs w:val="22"/>
              </w:rPr>
            </w:pPr>
          </w:p>
          <w:p w14:paraId="4F6DD45A"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Satisfactory</w:t>
            </w:r>
            <w:r>
              <w:rPr>
                <w:rFonts w:ascii="Times New Roman" w:hAnsi="Times New Roman" w:cs="Times New Roman"/>
                <w:sz w:val="22"/>
                <w:szCs w:val="22"/>
              </w:rPr>
              <w:t xml:space="preserve"> </w:t>
            </w:r>
          </w:p>
          <w:p w14:paraId="43785FC8"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5 points</w:t>
            </w:r>
          </w:p>
          <w:p w14:paraId="7BFF4263" w14:textId="77777777" w:rsidR="004B193A" w:rsidRPr="006D1BDA" w:rsidRDefault="004B193A" w:rsidP="009512AB">
            <w:pPr>
              <w:jc w:val="center"/>
              <w:rPr>
                <w:sz w:val="22"/>
                <w:szCs w:val="22"/>
              </w:rPr>
            </w:pPr>
          </w:p>
        </w:tc>
        <w:tc>
          <w:tcPr>
            <w:tcW w:w="7560" w:type="dxa"/>
          </w:tcPr>
          <w:p w14:paraId="0AA2BBCA" w14:textId="77777777" w:rsidR="004B193A" w:rsidRDefault="004B193A" w:rsidP="009512AB">
            <w:pPr>
              <w:rPr>
                <w:rFonts w:ascii="Times New Roman" w:hAnsi="Times New Roman" w:cs="Times New Roman"/>
                <w:sz w:val="22"/>
                <w:szCs w:val="22"/>
              </w:rPr>
            </w:pPr>
            <w:r>
              <w:rPr>
                <w:rFonts w:ascii="Times New Roman" w:hAnsi="Times New Roman" w:cs="Times New Roman"/>
                <w:sz w:val="22"/>
                <w:szCs w:val="22"/>
              </w:rPr>
              <w:t>Demonstrates only an</w:t>
            </w:r>
            <w:r w:rsidRPr="004D4547">
              <w:rPr>
                <w:rFonts w:ascii="Times New Roman" w:hAnsi="Times New Roman" w:cs="Times New Roman"/>
                <w:sz w:val="22"/>
                <w:szCs w:val="22"/>
              </w:rPr>
              <w:t xml:space="preserve"> </w:t>
            </w:r>
            <w:r>
              <w:rPr>
                <w:rFonts w:ascii="Times New Roman" w:hAnsi="Times New Roman" w:cs="Times New Roman"/>
                <w:sz w:val="22"/>
                <w:szCs w:val="22"/>
              </w:rPr>
              <w:t>awareness of recent trends within the discipline without contributing significantly to the scholarly discourse associated with the student’s area of specialization. Shows awareness of, if not mastery of, the written conventions associated with the students’ intended profession.</w:t>
            </w:r>
          </w:p>
          <w:p w14:paraId="200AF68C" w14:textId="77777777" w:rsidR="004B193A" w:rsidRDefault="004B193A" w:rsidP="009512AB"/>
        </w:tc>
      </w:tr>
      <w:tr w:rsidR="004B193A" w14:paraId="3276361A" w14:textId="77777777" w:rsidTr="009512AB">
        <w:tc>
          <w:tcPr>
            <w:tcW w:w="1975" w:type="dxa"/>
          </w:tcPr>
          <w:p w14:paraId="429F172E" w14:textId="77777777" w:rsidR="004B193A" w:rsidRPr="006D1BDA" w:rsidRDefault="004B193A" w:rsidP="009512AB">
            <w:pPr>
              <w:jc w:val="center"/>
              <w:rPr>
                <w:rFonts w:ascii="Times New Roman" w:hAnsi="Times New Roman" w:cs="Times New Roman"/>
                <w:sz w:val="22"/>
                <w:szCs w:val="22"/>
              </w:rPr>
            </w:pPr>
          </w:p>
          <w:p w14:paraId="6C490AA3"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Unsatisfactory</w:t>
            </w:r>
          </w:p>
          <w:p w14:paraId="492A01A1"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0 points</w:t>
            </w:r>
          </w:p>
          <w:p w14:paraId="6B8D6569" w14:textId="77777777" w:rsidR="004B193A" w:rsidRPr="006D1BDA" w:rsidRDefault="004B193A" w:rsidP="009512AB">
            <w:pPr>
              <w:jc w:val="center"/>
              <w:rPr>
                <w:sz w:val="22"/>
                <w:szCs w:val="22"/>
              </w:rPr>
            </w:pPr>
          </w:p>
        </w:tc>
        <w:tc>
          <w:tcPr>
            <w:tcW w:w="7560" w:type="dxa"/>
          </w:tcPr>
          <w:p w14:paraId="2A786AE0" w14:textId="77777777" w:rsidR="004B193A" w:rsidRDefault="004B193A" w:rsidP="009512AB">
            <w:pPr>
              <w:rPr>
                <w:rFonts w:ascii="Times New Roman" w:hAnsi="Times New Roman" w:cs="Times New Roman"/>
                <w:sz w:val="22"/>
                <w:szCs w:val="22"/>
              </w:rPr>
            </w:pPr>
            <w:r w:rsidRPr="006D1BDA">
              <w:rPr>
                <w:rFonts w:ascii="Times New Roman" w:hAnsi="Times New Roman" w:cs="Times New Roman"/>
                <w:sz w:val="22"/>
                <w:szCs w:val="22"/>
              </w:rPr>
              <w:t>Fail</w:t>
            </w:r>
            <w:r>
              <w:rPr>
                <w:rFonts w:ascii="Times New Roman" w:hAnsi="Times New Roman" w:cs="Times New Roman"/>
                <w:sz w:val="22"/>
                <w:szCs w:val="22"/>
              </w:rPr>
              <w:t>s to address recent trends with</w:t>
            </w:r>
            <w:r w:rsidRPr="006D1BDA">
              <w:rPr>
                <w:rFonts w:ascii="Times New Roman" w:hAnsi="Times New Roman" w:cs="Times New Roman"/>
                <w:sz w:val="22"/>
                <w:szCs w:val="22"/>
              </w:rPr>
              <w:t xml:space="preserve">in the discipline, including the scholarly discourse associated with the student’s area of specialization. Fails to communicate effectively using the </w:t>
            </w:r>
            <w:r>
              <w:rPr>
                <w:rFonts w:ascii="Times New Roman" w:hAnsi="Times New Roman" w:cs="Times New Roman"/>
                <w:sz w:val="22"/>
                <w:szCs w:val="22"/>
              </w:rPr>
              <w:t>professional</w:t>
            </w:r>
            <w:r w:rsidRPr="006D1BDA">
              <w:rPr>
                <w:rFonts w:ascii="Times New Roman" w:hAnsi="Times New Roman" w:cs="Times New Roman"/>
                <w:sz w:val="22"/>
                <w:szCs w:val="22"/>
              </w:rPr>
              <w:t xml:space="preserve"> conventions associated with the students’ intended profession. </w:t>
            </w:r>
          </w:p>
          <w:p w14:paraId="68A8E56B" w14:textId="77777777" w:rsidR="004B193A" w:rsidRPr="006D1BDA" w:rsidRDefault="004B193A" w:rsidP="009512AB">
            <w:pPr>
              <w:rPr>
                <w:rFonts w:ascii="Times New Roman" w:hAnsi="Times New Roman" w:cs="Times New Roman"/>
                <w:sz w:val="22"/>
                <w:szCs w:val="22"/>
              </w:rPr>
            </w:pPr>
          </w:p>
        </w:tc>
      </w:tr>
    </w:tbl>
    <w:p w14:paraId="7C06636D" w14:textId="77777777" w:rsidR="004B193A" w:rsidRDefault="004B193A" w:rsidP="004B193A"/>
    <w:tbl>
      <w:tblPr>
        <w:tblStyle w:val="TableGrid"/>
        <w:tblW w:w="9535" w:type="dxa"/>
        <w:tblLook w:val="04A0" w:firstRow="1" w:lastRow="0" w:firstColumn="1" w:lastColumn="0" w:noHBand="0" w:noVBand="1"/>
      </w:tblPr>
      <w:tblGrid>
        <w:gridCol w:w="1975"/>
        <w:gridCol w:w="7560"/>
      </w:tblGrid>
      <w:tr w:rsidR="004B193A" w14:paraId="42B79B3A" w14:textId="77777777" w:rsidTr="009512AB">
        <w:tc>
          <w:tcPr>
            <w:tcW w:w="9535" w:type="dxa"/>
            <w:gridSpan w:val="2"/>
            <w:shd w:val="clear" w:color="auto" w:fill="E7E6E6" w:themeFill="background2"/>
          </w:tcPr>
          <w:p w14:paraId="1C214097" w14:textId="77777777" w:rsidR="004B193A" w:rsidRPr="00B91F8B" w:rsidRDefault="004B193A" w:rsidP="009512AB">
            <w:pPr>
              <w:rPr>
                <w:rFonts w:ascii="Times New Roman" w:hAnsi="Times New Roman" w:cs="Times New Roman"/>
              </w:rPr>
            </w:pPr>
            <w:r w:rsidRPr="006D1BDA">
              <w:rPr>
                <w:rFonts w:ascii="Times New Roman" w:hAnsi="Times New Roman" w:cs="Times New Roman"/>
                <w:b/>
              </w:rPr>
              <w:t>Measurable Learning Outcome 4:</w:t>
            </w:r>
            <w:r>
              <w:rPr>
                <w:rFonts w:ascii="Times New Roman" w:hAnsi="Times New Roman" w:cs="Times New Roman"/>
              </w:rPr>
              <w:t xml:space="preserve"> Apply</w:t>
            </w:r>
            <w:r w:rsidRPr="006D1BDA">
              <w:rPr>
                <w:rFonts w:ascii="Times New Roman" w:hAnsi="Times New Roman" w:cs="Times New Roman"/>
              </w:rPr>
              <w:t xml:space="preserve"> disciplinary skills to real world and </w:t>
            </w:r>
            <w:proofErr w:type="gramStart"/>
            <w:r w:rsidRPr="006D1BDA">
              <w:rPr>
                <w:rFonts w:ascii="Times New Roman" w:hAnsi="Times New Roman" w:cs="Times New Roman"/>
              </w:rPr>
              <w:t>research based</w:t>
            </w:r>
            <w:proofErr w:type="gramEnd"/>
            <w:r w:rsidRPr="006D1BDA">
              <w:rPr>
                <w:rFonts w:ascii="Times New Roman" w:hAnsi="Times New Roman" w:cs="Times New Roman"/>
              </w:rPr>
              <w:t xml:space="preserve"> tasks, translating classroom experience into academic, professional and community environments</w:t>
            </w:r>
          </w:p>
        </w:tc>
      </w:tr>
      <w:tr w:rsidR="004B193A" w14:paraId="5FE682A0" w14:textId="77777777" w:rsidTr="009512AB">
        <w:trPr>
          <w:trHeight w:val="341"/>
        </w:trPr>
        <w:tc>
          <w:tcPr>
            <w:tcW w:w="1975" w:type="dxa"/>
          </w:tcPr>
          <w:p w14:paraId="18CAC6A8" w14:textId="77777777" w:rsidR="004B193A" w:rsidRDefault="004B193A" w:rsidP="009512AB">
            <w:pPr>
              <w:jc w:val="center"/>
              <w:rPr>
                <w:rFonts w:ascii="Times New Roman" w:hAnsi="Times New Roman" w:cs="Times New Roman"/>
                <w:sz w:val="22"/>
                <w:szCs w:val="22"/>
              </w:rPr>
            </w:pPr>
          </w:p>
          <w:p w14:paraId="3633D28E"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 xml:space="preserve">Outstanding </w:t>
            </w:r>
          </w:p>
          <w:p w14:paraId="7D215BE9"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10 points</w:t>
            </w:r>
          </w:p>
        </w:tc>
        <w:tc>
          <w:tcPr>
            <w:tcW w:w="7560" w:type="dxa"/>
          </w:tcPr>
          <w:p w14:paraId="03D0010B" w14:textId="77777777" w:rsidR="004B193A" w:rsidRDefault="004B193A" w:rsidP="009512AB">
            <w:pPr>
              <w:rPr>
                <w:rFonts w:ascii="Times New Roman" w:hAnsi="Times New Roman" w:cs="Times New Roman"/>
                <w:sz w:val="22"/>
                <w:szCs w:val="22"/>
              </w:rPr>
            </w:pPr>
            <w:r>
              <w:rPr>
                <w:rFonts w:ascii="Times New Roman" w:hAnsi="Times New Roman" w:cs="Times New Roman"/>
                <w:sz w:val="22"/>
                <w:szCs w:val="22"/>
              </w:rPr>
              <w:t xml:space="preserve">Demonstrates an extensive </w:t>
            </w:r>
            <w:r w:rsidRPr="00746537">
              <w:rPr>
                <w:rFonts w:ascii="Times New Roman" w:hAnsi="Times New Roman" w:cs="Times New Roman"/>
                <w:sz w:val="22"/>
                <w:szCs w:val="22"/>
              </w:rPr>
              <w:t xml:space="preserve">familiarity </w:t>
            </w:r>
            <w:r>
              <w:rPr>
                <w:rFonts w:ascii="Times New Roman" w:hAnsi="Times New Roman" w:cs="Times New Roman"/>
                <w:sz w:val="22"/>
                <w:szCs w:val="22"/>
              </w:rPr>
              <w:t>with</w:t>
            </w:r>
            <w:r w:rsidRPr="00746537">
              <w:rPr>
                <w:rFonts w:ascii="Times New Roman" w:hAnsi="Times New Roman" w:cs="Times New Roman"/>
                <w:sz w:val="22"/>
                <w:szCs w:val="22"/>
              </w:rPr>
              <w:t xml:space="preserve"> the varied professional career paths appropriate to the student’s area of specialization. Reveals exceptional competency in translating degree skill sets to diverse audiences. </w:t>
            </w:r>
          </w:p>
          <w:p w14:paraId="5DC4BF29" w14:textId="77777777" w:rsidR="004B193A" w:rsidRPr="00746537" w:rsidRDefault="004B193A" w:rsidP="009512AB">
            <w:pPr>
              <w:rPr>
                <w:rFonts w:ascii="Times New Roman" w:hAnsi="Times New Roman" w:cs="Times New Roman"/>
                <w:sz w:val="22"/>
                <w:szCs w:val="22"/>
              </w:rPr>
            </w:pPr>
          </w:p>
        </w:tc>
      </w:tr>
      <w:tr w:rsidR="004B193A" w14:paraId="01E0BF13" w14:textId="77777777" w:rsidTr="009512AB">
        <w:tc>
          <w:tcPr>
            <w:tcW w:w="1975" w:type="dxa"/>
          </w:tcPr>
          <w:p w14:paraId="292E2232" w14:textId="77777777" w:rsidR="004B193A" w:rsidRDefault="004B193A" w:rsidP="009512AB">
            <w:pPr>
              <w:jc w:val="center"/>
              <w:rPr>
                <w:rFonts w:ascii="Times New Roman" w:hAnsi="Times New Roman" w:cs="Times New Roman"/>
                <w:sz w:val="22"/>
                <w:szCs w:val="22"/>
              </w:rPr>
            </w:pPr>
          </w:p>
          <w:p w14:paraId="69E2AB7B"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Excellent</w:t>
            </w:r>
          </w:p>
          <w:p w14:paraId="37D98D4A"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7 points</w:t>
            </w:r>
          </w:p>
          <w:p w14:paraId="300E102C" w14:textId="77777777" w:rsidR="004B193A" w:rsidRPr="006D1BDA" w:rsidRDefault="004B193A" w:rsidP="009512AB">
            <w:pPr>
              <w:jc w:val="center"/>
              <w:rPr>
                <w:rFonts w:ascii="Times New Roman" w:hAnsi="Times New Roman" w:cs="Times New Roman"/>
                <w:sz w:val="22"/>
                <w:szCs w:val="22"/>
              </w:rPr>
            </w:pPr>
          </w:p>
        </w:tc>
        <w:tc>
          <w:tcPr>
            <w:tcW w:w="7560" w:type="dxa"/>
          </w:tcPr>
          <w:p w14:paraId="268F3BFB" w14:textId="77777777" w:rsidR="004B193A" w:rsidRDefault="004B193A" w:rsidP="009512AB">
            <w:pPr>
              <w:rPr>
                <w:rFonts w:ascii="Times New Roman" w:hAnsi="Times New Roman" w:cs="Times New Roman"/>
                <w:sz w:val="22"/>
                <w:szCs w:val="22"/>
              </w:rPr>
            </w:pPr>
            <w:r>
              <w:rPr>
                <w:rFonts w:ascii="Times New Roman" w:hAnsi="Times New Roman" w:cs="Times New Roman"/>
                <w:sz w:val="22"/>
                <w:szCs w:val="22"/>
              </w:rPr>
              <w:t>Demonstrates an informed</w:t>
            </w:r>
            <w:r w:rsidRPr="00746537">
              <w:rPr>
                <w:rFonts w:ascii="Times New Roman" w:hAnsi="Times New Roman" w:cs="Times New Roman"/>
                <w:sz w:val="22"/>
                <w:szCs w:val="22"/>
              </w:rPr>
              <w:t xml:space="preserve"> </w:t>
            </w:r>
            <w:r>
              <w:rPr>
                <w:rFonts w:ascii="Times New Roman" w:hAnsi="Times New Roman" w:cs="Times New Roman"/>
                <w:sz w:val="22"/>
                <w:szCs w:val="22"/>
              </w:rPr>
              <w:t>awareness</w:t>
            </w:r>
            <w:r w:rsidRPr="00746537">
              <w:rPr>
                <w:rFonts w:ascii="Times New Roman" w:hAnsi="Times New Roman" w:cs="Times New Roman"/>
                <w:sz w:val="22"/>
                <w:szCs w:val="22"/>
              </w:rPr>
              <w:t xml:space="preserve"> of the varied professional career paths appropriate to the student’s </w:t>
            </w:r>
            <w:r>
              <w:rPr>
                <w:rFonts w:ascii="Times New Roman" w:hAnsi="Times New Roman" w:cs="Times New Roman"/>
                <w:sz w:val="22"/>
                <w:szCs w:val="22"/>
              </w:rPr>
              <w:t>area of specialization. Displays acceptable competency</w:t>
            </w:r>
            <w:r w:rsidRPr="00746537">
              <w:rPr>
                <w:rFonts w:ascii="Times New Roman" w:hAnsi="Times New Roman" w:cs="Times New Roman"/>
                <w:sz w:val="22"/>
                <w:szCs w:val="22"/>
              </w:rPr>
              <w:t xml:space="preserve"> in translating degree skill sets to diverse audiences.</w:t>
            </w:r>
          </w:p>
          <w:p w14:paraId="5FFCD769" w14:textId="77777777" w:rsidR="004B193A" w:rsidRPr="00B91F8B" w:rsidRDefault="004B193A" w:rsidP="009512AB">
            <w:pPr>
              <w:rPr>
                <w:rFonts w:ascii="Times New Roman" w:hAnsi="Times New Roman" w:cs="Times New Roman"/>
              </w:rPr>
            </w:pPr>
          </w:p>
        </w:tc>
      </w:tr>
      <w:tr w:rsidR="004B193A" w14:paraId="4461B9E7" w14:textId="77777777" w:rsidTr="009512AB">
        <w:trPr>
          <w:trHeight w:val="260"/>
        </w:trPr>
        <w:tc>
          <w:tcPr>
            <w:tcW w:w="1975" w:type="dxa"/>
          </w:tcPr>
          <w:p w14:paraId="260EECE8" w14:textId="77777777" w:rsidR="004B193A" w:rsidRDefault="004B193A" w:rsidP="009512AB">
            <w:pPr>
              <w:jc w:val="center"/>
              <w:rPr>
                <w:rFonts w:ascii="Times New Roman" w:hAnsi="Times New Roman" w:cs="Times New Roman"/>
                <w:sz w:val="22"/>
                <w:szCs w:val="22"/>
              </w:rPr>
            </w:pPr>
          </w:p>
          <w:p w14:paraId="25A3522F"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Satisfactory</w:t>
            </w:r>
            <w:r>
              <w:rPr>
                <w:rFonts w:ascii="Times New Roman" w:hAnsi="Times New Roman" w:cs="Times New Roman"/>
                <w:sz w:val="22"/>
                <w:szCs w:val="22"/>
              </w:rPr>
              <w:t xml:space="preserve"> </w:t>
            </w:r>
          </w:p>
          <w:p w14:paraId="05948DA6"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5 points</w:t>
            </w:r>
          </w:p>
          <w:p w14:paraId="2F0AD21A" w14:textId="77777777" w:rsidR="004B193A" w:rsidRPr="006D1BDA" w:rsidRDefault="004B193A" w:rsidP="009512AB">
            <w:pPr>
              <w:jc w:val="center"/>
              <w:rPr>
                <w:sz w:val="22"/>
                <w:szCs w:val="22"/>
              </w:rPr>
            </w:pPr>
          </w:p>
        </w:tc>
        <w:tc>
          <w:tcPr>
            <w:tcW w:w="7560" w:type="dxa"/>
          </w:tcPr>
          <w:p w14:paraId="4D2AFD25" w14:textId="77777777" w:rsidR="004B193A" w:rsidRDefault="004B193A" w:rsidP="009512AB">
            <w:pPr>
              <w:rPr>
                <w:rFonts w:ascii="Times New Roman" w:hAnsi="Times New Roman" w:cs="Times New Roman"/>
                <w:sz w:val="22"/>
                <w:szCs w:val="22"/>
              </w:rPr>
            </w:pPr>
            <w:r>
              <w:rPr>
                <w:rFonts w:ascii="Times New Roman" w:hAnsi="Times New Roman" w:cs="Times New Roman"/>
                <w:sz w:val="22"/>
                <w:szCs w:val="22"/>
              </w:rPr>
              <w:t>Demonstrates adequate</w:t>
            </w:r>
            <w:r w:rsidRPr="00746537">
              <w:rPr>
                <w:rFonts w:ascii="Times New Roman" w:hAnsi="Times New Roman" w:cs="Times New Roman"/>
                <w:sz w:val="22"/>
                <w:szCs w:val="22"/>
              </w:rPr>
              <w:t xml:space="preserve"> knowledge of the varied professional career paths appropriate to the student’s a</w:t>
            </w:r>
            <w:r>
              <w:rPr>
                <w:rFonts w:ascii="Times New Roman" w:hAnsi="Times New Roman" w:cs="Times New Roman"/>
                <w:sz w:val="22"/>
                <w:szCs w:val="22"/>
              </w:rPr>
              <w:t xml:space="preserve">rea of specialization. Suggests reasonable </w:t>
            </w:r>
            <w:r w:rsidRPr="00746537">
              <w:rPr>
                <w:rFonts w:ascii="Times New Roman" w:hAnsi="Times New Roman" w:cs="Times New Roman"/>
                <w:sz w:val="22"/>
                <w:szCs w:val="22"/>
              </w:rPr>
              <w:t>competency in translating degree skill sets to diverse audiences.</w:t>
            </w:r>
          </w:p>
          <w:p w14:paraId="053E5C25" w14:textId="77777777" w:rsidR="004B193A" w:rsidRDefault="004B193A" w:rsidP="009512AB"/>
        </w:tc>
      </w:tr>
      <w:tr w:rsidR="004B193A" w14:paraId="3A3073BE" w14:textId="77777777" w:rsidTr="009512AB">
        <w:tc>
          <w:tcPr>
            <w:tcW w:w="1975" w:type="dxa"/>
          </w:tcPr>
          <w:p w14:paraId="7425B12D" w14:textId="77777777" w:rsidR="004B193A" w:rsidRDefault="004B193A" w:rsidP="009512AB">
            <w:pPr>
              <w:jc w:val="center"/>
              <w:rPr>
                <w:rFonts w:ascii="Times New Roman" w:hAnsi="Times New Roman" w:cs="Times New Roman"/>
                <w:sz w:val="22"/>
                <w:szCs w:val="22"/>
              </w:rPr>
            </w:pPr>
            <w:r w:rsidRPr="006D1BDA">
              <w:rPr>
                <w:rFonts w:ascii="Times New Roman" w:hAnsi="Times New Roman" w:cs="Times New Roman"/>
                <w:sz w:val="22"/>
                <w:szCs w:val="22"/>
              </w:rPr>
              <w:t>Unsatisfactory</w:t>
            </w:r>
          </w:p>
          <w:p w14:paraId="650AF884" w14:textId="77777777" w:rsidR="004B193A" w:rsidRPr="006D1BDA" w:rsidRDefault="004B193A" w:rsidP="009512AB">
            <w:pPr>
              <w:jc w:val="center"/>
              <w:rPr>
                <w:rFonts w:ascii="Times New Roman" w:hAnsi="Times New Roman" w:cs="Times New Roman"/>
                <w:sz w:val="22"/>
                <w:szCs w:val="22"/>
              </w:rPr>
            </w:pPr>
            <w:r>
              <w:rPr>
                <w:rFonts w:ascii="Times New Roman" w:hAnsi="Times New Roman" w:cs="Times New Roman"/>
                <w:sz w:val="22"/>
                <w:szCs w:val="22"/>
              </w:rPr>
              <w:t>0 points</w:t>
            </w:r>
          </w:p>
          <w:p w14:paraId="70ECD2D1" w14:textId="77777777" w:rsidR="004B193A" w:rsidRPr="006D1BDA" w:rsidRDefault="004B193A" w:rsidP="009512AB">
            <w:pPr>
              <w:jc w:val="center"/>
              <w:rPr>
                <w:sz w:val="22"/>
                <w:szCs w:val="22"/>
              </w:rPr>
            </w:pPr>
          </w:p>
        </w:tc>
        <w:tc>
          <w:tcPr>
            <w:tcW w:w="7560" w:type="dxa"/>
          </w:tcPr>
          <w:p w14:paraId="48608739" w14:textId="77777777" w:rsidR="004B193A" w:rsidRDefault="004B193A" w:rsidP="009512AB">
            <w:r>
              <w:rPr>
                <w:rFonts w:ascii="Times New Roman" w:hAnsi="Times New Roman" w:cs="Times New Roman"/>
                <w:sz w:val="22"/>
                <w:szCs w:val="22"/>
              </w:rPr>
              <w:t>Uninformed</w:t>
            </w:r>
            <w:r w:rsidRPr="00746537">
              <w:rPr>
                <w:rFonts w:ascii="Times New Roman" w:hAnsi="Times New Roman" w:cs="Times New Roman"/>
                <w:sz w:val="22"/>
                <w:szCs w:val="22"/>
              </w:rPr>
              <w:t xml:space="preserve"> </w:t>
            </w:r>
            <w:r>
              <w:rPr>
                <w:rFonts w:ascii="Times New Roman" w:hAnsi="Times New Roman" w:cs="Times New Roman"/>
                <w:sz w:val="22"/>
                <w:szCs w:val="22"/>
              </w:rPr>
              <w:t>on</w:t>
            </w:r>
            <w:r w:rsidRPr="00746537">
              <w:rPr>
                <w:rFonts w:ascii="Times New Roman" w:hAnsi="Times New Roman" w:cs="Times New Roman"/>
                <w:sz w:val="22"/>
                <w:szCs w:val="22"/>
              </w:rPr>
              <w:t xml:space="preserve"> the varied professional career paths appropriate to the student’s area of specialization. </w:t>
            </w:r>
            <w:r>
              <w:rPr>
                <w:rFonts w:ascii="Times New Roman" w:hAnsi="Times New Roman" w:cs="Times New Roman"/>
                <w:sz w:val="22"/>
                <w:szCs w:val="22"/>
              </w:rPr>
              <w:t>Fails to translate</w:t>
            </w:r>
            <w:r w:rsidRPr="00746537">
              <w:rPr>
                <w:rFonts w:ascii="Times New Roman" w:hAnsi="Times New Roman" w:cs="Times New Roman"/>
                <w:sz w:val="22"/>
                <w:szCs w:val="22"/>
              </w:rPr>
              <w:t xml:space="preserve"> degree skill sets to diverse audiences.</w:t>
            </w:r>
          </w:p>
        </w:tc>
      </w:tr>
    </w:tbl>
    <w:p w14:paraId="6FD51849" w14:textId="77777777" w:rsidR="004B193A" w:rsidRDefault="004B193A" w:rsidP="004B193A">
      <w:pPr>
        <w:rPr>
          <w:rFonts w:ascii="Times New Roman" w:hAnsi="Times New Roman" w:cs="Times New Roman"/>
        </w:rPr>
      </w:pPr>
    </w:p>
    <w:p w14:paraId="6A41D207" w14:textId="77777777" w:rsidR="00853A15" w:rsidRDefault="00853A15">
      <w:bookmarkStart w:id="0" w:name="_GoBack"/>
      <w:bookmarkEnd w:id="0"/>
    </w:p>
    <w:sectPr w:rsidR="00853A15" w:rsidSect="00EC4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3A"/>
    <w:rsid w:val="004B193A"/>
    <w:rsid w:val="00825FD5"/>
    <w:rsid w:val="00853A15"/>
    <w:rsid w:val="00EC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8D777"/>
  <w15:chartTrackingRefBased/>
  <w15:docId w15:val="{8BB232B6-206F-FA41-BB76-8FAA45A6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9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Bechtold, Rebeccah</dc:creator>
  <cp:keywords/>
  <dc:description/>
  <cp:lastModifiedBy>Bechtold, Rebeccah</cp:lastModifiedBy>
  <cp:revision>1</cp:revision>
  <dcterms:created xsi:type="dcterms:W3CDTF">2019-08-15T16:14:00Z</dcterms:created>
  <dcterms:modified xsi:type="dcterms:W3CDTF">2019-08-15T16:14:00Z</dcterms:modified>
</cp:coreProperties>
</file>