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434EC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1530"/>
        <w:gridCol w:w="1620"/>
        <w:gridCol w:w="1525"/>
      </w:tblGrid>
      <w:tr w:rsidR="00286CCE" w:rsidRPr="00286CCE" w14:paraId="7B6DADEA" w14:textId="77777777" w:rsidTr="00B80FC5">
        <w:trPr>
          <w:jc w:val="center"/>
        </w:trPr>
        <w:tc>
          <w:tcPr>
            <w:tcW w:w="4675" w:type="dxa"/>
          </w:tcPr>
          <w:p w14:paraId="0E4F2252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286CCE">
              <w:rPr>
                <w:rFonts w:ascii="Arial" w:hAnsi="Arial" w:cs="Arial"/>
                <w:b/>
                <w:sz w:val="26"/>
                <w:szCs w:val="26"/>
              </w:rPr>
              <w:t>Budget Category</w:t>
            </w:r>
          </w:p>
        </w:tc>
        <w:tc>
          <w:tcPr>
            <w:tcW w:w="1530" w:type="dxa"/>
          </w:tcPr>
          <w:p w14:paraId="0CE45C70" w14:textId="77777777" w:rsidR="00286CCE" w:rsidRPr="00286CCE" w:rsidRDefault="00286CCE" w:rsidP="00B80FC5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286CCE">
              <w:rPr>
                <w:rFonts w:ascii="Arial" w:hAnsi="Arial" w:cs="Arial"/>
                <w:b/>
                <w:sz w:val="26"/>
                <w:szCs w:val="26"/>
              </w:rPr>
              <w:t>Year 1</w:t>
            </w:r>
          </w:p>
        </w:tc>
        <w:tc>
          <w:tcPr>
            <w:tcW w:w="1620" w:type="dxa"/>
          </w:tcPr>
          <w:p w14:paraId="2FBAF474" w14:textId="77777777" w:rsidR="00286CCE" w:rsidRPr="00286CCE" w:rsidRDefault="00286CCE" w:rsidP="00B80FC5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286CCE">
              <w:rPr>
                <w:rFonts w:ascii="Arial" w:hAnsi="Arial" w:cs="Arial"/>
                <w:b/>
                <w:sz w:val="26"/>
                <w:szCs w:val="26"/>
              </w:rPr>
              <w:t>Year 2</w:t>
            </w:r>
          </w:p>
        </w:tc>
        <w:tc>
          <w:tcPr>
            <w:tcW w:w="1525" w:type="dxa"/>
          </w:tcPr>
          <w:p w14:paraId="3240CFB9" w14:textId="77777777" w:rsidR="00286CCE" w:rsidRPr="00286CCE" w:rsidRDefault="00286CCE" w:rsidP="00B80FC5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286CCE">
              <w:rPr>
                <w:rFonts w:ascii="Arial" w:hAnsi="Arial" w:cs="Arial"/>
                <w:b/>
                <w:sz w:val="26"/>
                <w:szCs w:val="26"/>
              </w:rPr>
              <w:t>Year 3</w:t>
            </w:r>
          </w:p>
        </w:tc>
      </w:tr>
      <w:tr w:rsidR="00286CCE" w:rsidRPr="00286CCE" w14:paraId="56F4F63D" w14:textId="77777777" w:rsidTr="009E4591">
        <w:trPr>
          <w:trHeight w:val="305"/>
          <w:jc w:val="center"/>
        </w:trPr>
        <w:tc>
          <w:tcPr>
            <w:tcW w:w="4675" w:type="dxa"/>
          </w:tcPr>
          <w:p w14:paraId="39B5F5AD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permStart w:id="765003039" w:edGrp="everyone" w:colFirst="3" w:colLast="3"/>
            <w:r w:rsidRPr="00286CCE">
              <w:rPr>
                <w:rFonts w:ascii="Arial" w:hAnsi="Arial" w:cs="Arial"/>
                <w:sz w:val="26"/>
                <w:szCs w:val="26"/>
              </w:rPr>
              <w:t>Personnel</w:t>
            </w:r>
          </w:p>
        </w:tc>
        <w:tc>
          <w:tcPr>
            <w:tcW w:w="1530" w:type="dxa"/>
          </w:tcPr>
          <w:p w14:paraId="149EB781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$129,000</w:t>
            </w:r>
          </w:p>
        </w:tc>
        <w:tc>
          <w:tcPr>
            <w:tcW w:w="1620" w:type="dxa"/>
          </w:tcPr>
          <w:p w14:paraId="27F2988C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$132,225</w:t>
            </w:r>
          </w:p>
        </w:tc>
        <w:tc>
          <w:tcPr>
            <w:tcW w:w="1525" w:type="dxa"/>
            <w:shd w:val="clear" w:color="auto" w:fill="FFF2CC" w:themeFill="accent4" w:themeFillTint="33"/>
          </w:tcPr>
          <w:p w14:paraId="20D2EDAE" w14:textId="46ECBDF1" w:rsidR="00286CCE" w:rsidRPr="00286CCE" w:rsidRDefault="00286CCE" w:rsidP="009E4591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86CCE" w:rsidRPr="00286CCE" w14:paraId="0C30F5C9" w14:textId="77777777" w:rsidTr="009E4591">
        <w:trPr>
          <w:jc w:val="center"/>
        </w:trPr>
        <w:tc>
          <w:tcPr>
            <w:tcW w:w="4675" w:type="dxa"/>
          </w:tcPr>
          <w:p w14:paraId="0E976DB0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permStart w:id="712903180" w:edGrp="everyone" w:colFirst="3" w:colLast="3"/>
            <w:permEnd w:id="765003039"/>
            <w:r w:rsidRPr="00286CCE">
              <w:rPr>
                <w:rFonts w:ascii="Arial" w:hAnsi="Arial" w:cs="Arial"/>
                <w:sz w:val="26"/>
                <w:szCs w:val="26"/>
              </w:rPr>
              <w:t>Benefits</w:t>
            </w:r>
          </w:p>
        </w:tc>
        <w:tc>
          <w:tcPr>
            <w:tcW w:w="1530" w:type="dxa"/>
          </w:tcPr>
          <w:p w14:paraId="62579F26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$65,000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14:paraId="56816712" w14:textId="251C0CA2" w:rsidR="00286CCE" w:rsidRPr="00286CCE" w:rsidRDefault="00286CCE" w:rsidP="009E4591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  <w:permStart w:id="846816070" w:edGrp="everyone"/>
            <w:permEnd w:id="846816070"/>
          </w:p>
        </w:tc>
        <w:tc>
          <w:tcPr>
            <w:tcW w:w="1525" w:type="dxa"/>
            <w:shd w:val="clear" w:color="auto" w:fill="FFF2CC" w:themeFill="accent4" w:themeFillTint="33"/>
          </w:tcPr>
          <w:p w14:paraId="3D5BF774" w14:textId="77777777" w:rsidR="00286CCE" w:rsidRPr="00286CCE" w:rsidRDefault="00286CCE" w:rsidP="009E4591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86CCE" w:rsidRPr="00286CCE" w14:paraId="2F46C0F3" w14:textId="77777777" w:rsidTr="009E4591">
        <w:trPr>
          <w:jc w:val="center"/>
        </w:trPr>
        <w:tc>
          <w:tcPr>
            <w:tcW w:w="4675" w:type="dxa"/>
          </w:tcPr>
          <w:p w14:paraId="4D51CEED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permStart w:id="135222761" w:edGrp="everyone" w:colFirst="3" w:colLast="3"/>
            <w:permEnd w:id="712903180"/>
            <w:r w:rsidRPr="00286CCE">
              <w:rPr>
                <w:rFonts w:ascii="Arial" w:hAnsi="Arial" w:cs="Arial"/>
                <w:sz w:val="26"/>
                <w:szCs w:val="26"/>
              </w:rPr>
              <w:t>Purchased Water</w:t>
            </w:r>
          </w:p>
        </w:tc>
        <w:tc>
          <w:tcPr>
            <w:tcW w:w="1530" w:type="dxa"/>
          </w:tcPr>
          <w:p w14:paraId="567C28B2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$230,000</w:t>
            </w:r>
          </w:p>
        </w:tc>
        <w:tc>
          <w:tcPr>
            <w:tcW w:w="1620" w:type="dxa"/>
          </w:tcPr>
          <w:p w14:paraId="74322341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$234,600</w:t>
            </w:r>
          </w:p>
        </w:tc>
        <w:tc>
          <w:tcPr>
            <w:tcW w:w="1525" w:type="dxa"/>
            <w:shd w:val="clear" w:color="auto" w:fill="FFF2CC" w:themeFill="accent4" w:themeFillTint="33"/>
          </w:tcPr>
          <w:p w14:paraId="427F78B6" w14:textId="77777777" w:rsidR="00286CCE" w:rsidRPr="00286CCE" w:rsidRDefault="00286CCE" w:rsidP="009E4591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</w:p>
        </w:tc>
      </w:tr>
      <w:permEnd w:id="135222761"/>
      <w:tr w:rsidR="00286CCE" w:rsidRPr="00286CCE" w14:paraId="3E618B98" w14:textId="77777777" w:rsidTr="00B80FC5">
        <w:trPr>
          <w:jc w:val="center"/>
        </w:trPr>
        <w:tc>
          <w:tcPr>
            <w:tcW w:w="4675" w:type="dxa"/>
          </w:tcPr>
          <w:p w14:paraId="4864F428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Utilities</w:t>
            </w:r>
          </w:p>
        </w:tc>
        <w:tc>
          <w:tcPr>
            <w:tcW w:w="1530" w:type="dxa"/>
          </w:tcPr>
          <w:p w14:paraId="63F7801D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$76,000</w:t>
            </w:r>
          </w:p>
        </w:tc>
        <w:tc>
          <w:tcPr>
            <w:tcW w:w="1620" w:type="dxa"/>
          </w:tcPr>
          <w:p w14:paraId="28FAD3B8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$78,280</w:t>
            </w:r>
          </w:p>
        </w:tc>
        <w:tc>
          <w:tcPr>
            <w:tcW w:w="1525" w:type="dxa"/>
          </w:tcPr>
          <w:p w14:paraId="399904FF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$80,628</w:t>
            </w:r>
          </w:p>
        </w:tc>
      </w:tr>
      <w:tr w:rsidR="00286CCE" w:rsidRPr="00286CCE" w14:paraId="1DCEE5EF" w14:textId="77777777" w:rsidTr="009E4591">
        <w:trPr>
          <w:jc w:val="center"/>
        </w:trPr>
        <w:tc>
          <w:tcPr>
            <w:tcW w:w="4675" w:type="dxa"/>
          </w:tcPr>
          <w:p w14:paraId="3F3521B5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permStart w:id="1334841286" w:edGrp="everyone" w:colFirst="2" w:colLast="2"/>
            <w:permStart w:id="1933904348" w:edGrp="everyone" w:colFirst="3" w:colLast="3"/>
            <w:r w:rsidRPr="00286CCE">
              <w:rPr>
                <w:rFonts w:ascii="Arial" w:hAnsi="Arial" w:cs="Arial"/>
                <w:sz w:val="26"/>
                <w:szCs w:val="26"/>
              </w:rPr>
              <w:t>Contract Services</w:t>
            </w:r>
          </w:p>
        </w:tc>
        <w:tc>
          <w:tcPr>
            <w:tcW w:w="1530" w:type="dxa"/>
          </w:tcPr>
          <w:p w14:paraId="745AEE46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$10,000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14:paraId="5F73E53F" w14:textId="77777777" w:rsidR="00286CCE" w:rsidRPr="00286CCE" w:rsidRDefault="00286CCE" w:rsidP="009E4591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25" w:type="dxa"/>
            <w:shd w:val="clear" w:color="auto" w:fill="FFF2CC" w:themeFill="accent4" w:themeFillTint="33"/>
          </w:tcPr>
          <w:p w14:paraId="7C2E786D" w14:textId="77777777" w:rsidR="00286CCE" w:rsidRPr="00286CCE" w:rsidRDefault="00286CCE" w:rsidP="009E4591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</w:p>
        </w:tc>
      </w:tr>
      <w:permEnd w:id="1334841286"/>
      <w:permEnd w:id="1933904348"/>
      <w:tr w:rsidR="00286CCE" w:rsidRPr="00286CCE" w14:paraId="7636E559" w14:textId="77777777" w:rsidTr="009E4591">
        <w:trPr>
          <w:jc w:val="center"/>
        </w:trPr>
        <w:tc>
          <w:tcPr>
            <w:tcW w:w="4675" w:type="dxa"/>
          </w:tcPr>
          <w:p w14:paraId="2557D0E0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Interfund Transfers (Out)</w:t>
            </w:r>
          </w:p>
        </w:tc>
        <w:tc>
          <w:tcPr>
            <w:tcW w:w="1530" w:type="dxa"/>
          </w:tcPr>
          <w:p w14:paraId="34F4ED0E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$45,000</w:t>
            </w:r>
          </w:p>
        </w:tc>
        <w:tc>
          <w:tcPr>
            <w:tcW w:w="1620" w:type="dxa"/>
          </w:tcPr>
          <w:p w14:paraId="3336F719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$46,125</w:t>
            </w:r>
          </w:p>
        </w:tc>
        <w:tc>
          <w:tcPr>
            <w:tcW w:w="1525" w:type="dxa"/>
            <w:shd w:val="clear" w:color="auto" w:fill="FFF2CC" w:themeFill="accent4" w:themeFillTint="33"/>
          </w:tcPr>
          <w:p w14:paraId="5EB238B8" w14:textId="77777777" w:rsidR="00286CCE" w:rsidRPr="00286CCE" w:rsidRDefault="00286CCE" w:rsidP="009E4591">
            <w:pPr>
              <w:contextualSpacing/>
              <w:rPr>
                <w:rFonts w:ascii="Arial" w:hAnsi="Arial" w:cs="Arial"/>
                <w:sz w:val="26"/>
                <w:szCs w:val="26"/>
              </w:rPr>
            </w:pPr>
            <w:permStart w:id="308179338" w:edGrp="everyone"/>
            <w:permEnd w:id="308179338"/>
          </w:p>
        </w:tc>
      </w:tr>
      <w:tr w:rsidR="00286CCE" w:rsidRPr="00286CCE" w14:paraId="793522A0" w14:textId="77777777" w:rsidTr="00B80FC5">
        <w:trPr>
          <w:jc w:val="center"/>
        </w:trPr>
        <w:tc>
          <w:tcPr>
            <w:tcW w:w="4675" w:type="dxa"/>
          </w:tcPr>
          <w:p w14:paraId="330986DC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Debt Service</w:t>
            </w:r>
          </w:p>
        </w:tc>
        <w:tc>
          <w:tcPr>
            <w:tcW w:w="1530" w:type="dxa"/>
          </w:tcPr>
          <w:p w14:paraId="0F8785C2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$50,000</w:t>
            </w:r>
          </w:p>
        </w:tc>
        <w:tc>
          <w:tcPr>
            <w:tcW w:w="1620" w:type="dxa"/>
          </w:tcPr>
          <w:p w14:paraId="5D23232A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$50,000</w:t>
            </w:r>
          </w:p>
        </w:tc>
        <w:tc>
          <w:tcPr>
            <w:tcW w:w="1525" w:type="dxa"/>
          </w:tcPr>
          <w:p w14:paraId="2808EB3C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$50,000</w:t>
            </w:r>
          </w:p>
        </w:tc>
      </w:tr>
      <w:tr w:rsidR="00286CCE" w:rsidRPr="00286CCE" w14:paraId="2E2DC618" w14:textId="77777777" w:rsidTr="00B80FC5">
        <w:trPr>
          <w:jc w:val="center"/>
        </w:trPr>
        <w:tc>
          <w:tcPr>
            <w:tcW w:w="4675" w:type="dxa"/>
          </w:tcPr>
          <w:p w14:paraId="067E5F6C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Debt Service on New Debt</w:t>
            </w:r>
          </w:p>
        </w:tc>
        <w:tc>
          <w:tcPr>
            <w:tcW w:w="1530" w:type="dxa"/>
          </w:tcPr>
          <w:p w14:paraId="391F591F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1620" w:type="dxa"/>
          </w:tcPr>
          <w:p w14:paraId="02AADE85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1525" w:type="dxa"/>
          </w:tcPr>
          <w:p w14:paraId="70274923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$16,000</w:t>
            </w:r>
          </w:p>
        </w:tc>
      </w:tr>
      <w:tr w:rsidR="00286CCE" w:rsidRPr="00286CCE" w14:paraId="3B6D9B80" w14:textId="77777777" w:rsidTr="00B80FC5">
        <w:trPr>
          <w:jc w:val="center"/>
        </w:trPr>
        <w:tc>
          <w:tcPr>
            <w:tcW w:w="4675" w:type="dxa"/>
          </w:tcPr>
          <w:p w14:paraId="2D15535F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86CCE">
              <w:rPr>
                <w:rFonts w:ascii="Arial" w:hAnsi="Arial" w:cs="Arial"/>
                <w:sz w:val="26"/>
                <w:szCs w:val="26"/>
              </w:rPr>
              <w:t>Increase in Reserve Requirements</w:t>
            </w:r>
          </w:p>
        </w:tc>
        <w:tc>
          <w:tcPr>
            <w:tcW w:w="1530" w:type="dxa"/>
          </w:tcPr>
          <w:p w14:paraId="262C3662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0" w:type="dxa"/>
          </w:tcPr>
          <w:p w14:paraId="092F2366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25" w:type="dxa"/>
          </w:tcPr>
          <w:p w14:paraId="706DB2B4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86CCE" w:rsidRPr="00286CCE" w14:paraId="075C59DA" w14:textId="77777777" w:rsidTr="00B80FC5">
        <w:trPr>
          <w:jc w:val="center"/>
        </w:trPr>
        <w:tc>
          <w:tcPr>
            <w:tcW w:w="4675" w:type="dxa"/>
          </w:tcPr>
          <w:p w14:paraId="76F35DEE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286CCE">
              <w:rPr>
                <w:rFonts w:ascii="Arial" w:hAnsi="Arial" w:cs="Arial"/>
                <w:b/>
                <w:sz w:val="26"/>
                <w:szCs w:val="26"/>
              </w:rPr>
              <w:t>Total Expenses</w:t>
            </w:r>
          </w:p>
        </w:tc>
        <w:tc>
          <w:tcPr>
            <w:tcW w:w="1530" w:type="dxa"/>
          </w:tcPr>
          <w:p w14:paraId="71676AE5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286CCE">
              <w:rPr>
                <w:rFonts w:ascii="Arial" w:hAnsi="Arial" w:cs="Arial"/>
                <w:b/>
                <w:sz w:val="26"/>
                <w:szCs w:val="26"/>
              </w:rPr>
              <w:t>$605,000</w:t>
            </w:r>
          </w:p>
        </w:tc>
        <w:tc>
          <w:tcPr>
            <w:tcW w:w="1620" w:type="dxa"/>
          </w:tcPr>
          <w:p w14:paraId="277CC1B6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286CCE">
              <w:rPr>
                <w:rFonts w:ascii="Arial" w:hAnsi="Arial" w:cs="Arial"/>
                <w:b/>
                <w:sz w:val="26"/>
                <w:szCs w:val="26"/>
              </w:rPr>
              <w:t>$618,480</w:t>
            </w:r>
          </w:p>
        </w:tc>
        <w:tc>
          <w:tcPr>
            <w:tcW w:w="1525" w:type="dxa"/>
          </w:tcPr>
          <w:p w14:paraId="782039F5" w14:textId="77777777" w:rsidR="00286CCE" w:rsidRPr="00286CCE" w:rsidRDefault="00286CCE" w:rsidP="00B80FC5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286CCE">
              <w:rPr>
                <w:rFonts w:ascii="Arial" w:hAnsi="Arial" w:cs="Arial"/>
                <w:b/>
                <w:sz w:val="26"/>
                <w:szCs w:val="26"/>
              </w:rPr>
              <w:t>$648,296</w:t>
            </w:r>
          </w:p>
        </w:tc>
      </w:tr>
    </w:tbl>
    <w:p w14:paraId="7CEFBEC2" w14:textId="77777777" w:rsidR="00353427" w:rsidRPr="00286CCE" w:rsidRDefault="00353427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14760C05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286CCE">
        <w:rPr>
          <w:rFonts w:ascii="Arial" w:hAnsi="Arial" w:cs="Arial"/>
          <w:b/>
          <w:sz w:val="26"/>
          <w:szCs w:val="26"/>
        </w:rPr>
        <w:t xml:space="preserve">Instructions: </w:t>
      </w:r>
      <w:r w:rsidRPr="00286CCE">
        <w:rPr>
          <w:rFonts w:ascii="Arial" w:hAnsi="Arial" w:cs="Arial"/>
          <w:sz w:val="26"/>
          <w:szCs w:val="26"/>
        </w:rPr>
        <w:t xml:space="preserve">Calculate the answers to the questions below to fill in the table above. In this example, </w:t>
      </w:r>
      <w:r w:rsidRPr="00286CCE">
        <w:rPr>
          <w:rFonts w:ascii="Arial" w:hAnsi="Arial" w:cs="Arial"/>
          <w:i/>
          <w:sz w:val="26"/>
          <w:szCs w:val="26"/>
        </w:rPr>
        <w:t>Utility Services</w:t>
      </w:r>
      <w:r w:rsidRPr="00286CCE">
        <w:rPr>
          <w:rFonts w:ascii="Arial" w:hAnsi="Arial" w:cs="Arial"/>
          <w:sz w:val="26"/>
          <w:szCs w:val="26"/>
        </w:rPr>
        <w:t xml:space="preserve"> and </w:t>
      </w:r>
      <w:r w:rsidRPr="00286CCE">
        <w:rPr>
          <w:rFonts w:ascii="Arial" w:hAnsi="Arial" w:cs="Arial"/>
          <w:i/>
          <w:sz w:val="26"/>
          <w:szCs w:val="26"/>
        </w:rPr>
        <w:t>Debt Service</w:t>
      </w:r>
      <w:r w:rsidRPr="00286CCE">
        <w:rPr>
          <w:rFonts w:ascii="Arial" w:hAnsi="Arial" w:cs="Arial"/>
          <w:sz w:val="26"/>
          <w:szCs w:val="26"/>
        </w:rPr>
        <w:t xml:space="preserve"> remain constant and </w:t>
      </w:r>
      <w:r w:rsidRPr="00286CCE">
        <w:rPr>
          <w:rFonts w:ascii="Arial" w:hAnsi="Arial" w:cs="Arial"/>
          <w:i/>
          <w:sz w:val="26"/>
          <w:szCs w:val="26"/>
        </w:rPr>
        <w:t>Commodities</w:t>
      </w:r>
      <w:r w:rsidRPr="00286CCE">
        <w:rPr>
          <w:rFonts w:ascii="Arial" w:hAnsi="Arial" w:cs="Arial"/>
          <w:sz w:val="26"/>
          <w:szCs w:val="26"/>
        </w:rPr>
        <w:t xml:space="preserve"> increased by 4% in Year 2. Round answer up to the nearest whole dollar amount. </w:t>
      </w:r>
    </w:p>
    <w:p w14:paraId="0FB7D2E4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1A223BB7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286CCE">
        <w:rPr>
          <w:rFonts w:ascii="Arial" w:hAnsi="Arial" w:cs="Arial"/>
          <w:sz w:val="26"/>
          <w:szCs w:val="26"/>
        </w:rPr>
        <w:t xml:space="preserve">1. Calculate Year 3 </w:t>
      </w:r>
      <w:r w:rsidRPr="00286CCE">
        <w:rPr>
          <w:rFonts w:ascii="Arial" w:hAnsi="Arial" w:cs="Arial"/>
          <w:i/>
          <w:sz w:val="26"/>
          <w:szCs w:val="26"/>
        </w:rPr>
        <w:t>Personnel</w:t>
      </w:r>
      <w:r w:rsidRPr="00286CCE">
        <w:rPr>
          <w:rFonts w:ascii="Arial" w:hAnsi="Arial" w:cs="Arial"/>
          <w:sz w:val="26"/>
          <w:szCs w:val="26"/>
        </w:rPr>
        <w:t xml:space="preserve"> expenses if they increase by 2.5%. </w:t>
      </w:r>
    </w:p>
    <w:p w14:paraId="2E598884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3BD6E9CC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286CCE">
        <w:rPr>
          <w:rFonts w:ascii="Arial" w:hAnsi="Arial" w:cs="Arial"/>
          <w:sz w:val="26"/>
          <w:szCs w:val="26"/>
        </w:rPr>
        <w:t xml:space="preserve">2. Calculate </w:t>
      </w:r>
      <w:r w:rsidRPr="00286CCE">
        <w:rPr>
          <w:rFonts w:ascii="Arial" w:hAnsi="Arial" w:cs="Arial"/>
          <w:i/>
          <w:sz w:val="26"/>
          <w:szCs w:val="26"/>
        </w:rPr>
        <w:t>Benefits</w:t>
      </w:r>
      <w:r w:rsidRPr="00286CCE">
        <w:rPr>
          <w:rFonts w:ascii="Arial" w:hAnsi="Arial" w:cs="Arial"/>
          <w:sz w:val="26"/>
          <w:szCs w:val="26"/>
        </w:rPr>
        <w:t xml:space="preserve"> expenses if they increase 3% per year.</w:t>
      </w:r>
    </w:p>
    <w:p w14:paraId="3ED419A4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69E87CF2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286CCE">
        <w:rPr>
          <w:rFonts w:ascii="Arial" w:hAnsi="Arial" w:cs="Arial"/>
          <w:sz w:val="26"/>
          <w:szCs w:val="26"/>
        </w:rPr>
        <w:t xml:space="preserve">3. Calculate Year 3 </w:t>
      </w:r>
      <w:r w:rsidRPr="00286CCE">
        <w:rPr>
          <w:rFonts w:ascii="Arial" w:hAnsi="Arial" w:cs="Arial"/>
          <w:i/>
          <w:sz w:val="26"/>
          <w:szCs w:val="26"/>
        </w:rPr>
        <w:t>Purchased Water</w:t>
      </w:r>
      <w:r w:rsidRPr="00286CCE">
        <w:rPr>
          <w:rFonts w:ascii="Arial" w:hAnsi="Arial" w:cs="Arial"/>
          <w:sz w:val="26"/>
          <w:szCs w:val="26"/>
        </w:rPr>
        <w:t xml:space="preserve"> expenses if they increase by 2%.</w:t>
      </w:r>
    </w:p>
    <w:p w14:paraId="170E3DFD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186CBFDF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286CCE">
        <w:rPr>
          <w:rFonts w:ascii="Arial" w:hAnsi="Arial" w:cs="Arial"/>
          <w:sz w:val="26"/>
          <w:szCs w:val="26"/>
        </w:rPr>
        <w:t xml:space="preserve">4. Calculate </w:t>
      </w:r>
      <w:r w:rsidRPr="00286CCE">
        <w:rPr>
          <w:rFonts w:ascii="Arial" w:hAnsi="Arial" w:cs="Arial"/>
          <w:i/>
          <w:sz w:val="26"/>
          <w:szCs w:val="26"/>
        </w:rPr>
        <w:t>Contractual Services</w:t>
      </w:r>
      <w:r w:rsidRPr="00286CCE">
        <w:rPr>
          <w:rFonts w:ascii="Arial" w:hAnsi="Arial" w:cs="Arial"/>
          <w:sz w:val="26"/>
          <w:szCs w:val="26"/>
        </w:rPr>
        <w:t xml:space="preserve"> expenses if they increase 3% per year. </w:t>
      </w:r>
    </w:p>
    <w:p w14:paraId="1F0980E4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4AA26B1E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286CCE">
        <w:rPr>
          <w:rFonts w:ascii="Arial" w:hAnsi="Arial" w:cs="Arial"/>
          <w:sz w:val="26"/>
          <w:szCs w:val="26"/>
        </w:rPr>
        <w:t xml:space="preserve">5. Calculate </w:t>
      </w:r>
      <w:r w:rsidRPr="00286CCE">
        <w:rPr>
          <w:rFonts w:ascii="Arial" w:hAnsi="Arial" w:cs="Arial"/>
          <w:i/>
          <w:sz w:val="26"/>
          <w:szCs w:val="26"/>
        </w:rPr>
        <w:t>Interfund Transfers</w:t>
      </w:r>
      <w:r w:rsidRPr="00286CCE">
        <w:rPr>
          <w:rFonts w:ascii="Arial" w:hAnsi="Arial" w:cs="Arial"/>
          <w:sz w:val="26"/>
          <w:szCs w:val="26"/>
        </w:rPr>
        <w:t xml:space="preserve"> in Year 3 if they increase by 2.5%. </w:t>
      </w:r>
    </w:p>
    <w:p w14:paraId="53F431E4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b/>
          <w:sz w:val="26"/>
          <w:szCs w:val="26"/>
        </w:rPr>
      </w:pPr>
    </w:p>
    <w:p w14:paraId="5A2AE96B" w14:textId="77777777" w:rsidR="00286CCE" w:rsidRPr="00286CCE" w:rsidRDefault="00286CCE" w:rsidP="00286CCE">
      <w:pPr>
        <w:spacing w:after="0"/>
        <w:contextualSpacing/>
        <w:rPr>
          <w:rFonts w:ascii="Arial" w:hAnsi="Arial" w:cs="Arial"/>
          <w:b/>
          <w:sz w:val="26"/>
          <w:szCs w:val="26"/>
        </w:rPr>
      </w:pPr>
    </w:p>
    <w:p w14:paraId="3B4995CC" w14:textId="77777777" w:rsid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  <w:r w:rsidRPr="00286CCE">
        <w:rPr>
          <w:rFonts w:ascii="Arial" w:hAnsi="Arial" w:cs="Arial"/>
          <w:b/>
          <w:sz w:val="26"/>
          <w:szCs w:val="26"/>
        </w:rPr>
        <w:t>For Discussion:</w:t>
      </w:r>
      <w:r w:rsidRPr="00286CCE">
        <w:rPr>
          <w:rFonts w:ascii="Arial" w:hAnsi="Arial" w:cs="Arial"/>
          <w:sz w:val="26"/>
          <w:szCs w:val="26"/>
        </w:rPr>
        <w:t xml:space="preserve"> A major upgrade ($250,000) to the filter plant will require a new loan in Year 2. You wish to cash finance 20% of the project, leaving $200,000 to borrow with a debt service payment of $16,000 per year during the next 20 years. Will an increase in the debt service reserve also be required? How will you build cash to fund the $50,000 for the water plant project?</w:t>
      </w:r>
    </w:p>
    <w:p w14:paraId="11048A7B" w14:textId="77777777" w:rsid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76413C37" w14:textId="77777777" w:rsid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3FAFF846" w14:textId="77777777" w:rsidR="00286CCE" w:rsidRDefault="00286CCE" w:rsidP="00286CCE">
      <w:pPr>
        <w:spacing w:after="0"/>
        <w:contextualSpacing/>
        <w:rPr>
          <w:rFonts w:ascii="Arial" w:hAnsi="Arial" w:cs="Arial"/>
          <w:sz w:val="26"/>
          <w:szCs w:val="26"/>
        </w:rPr>
      </w:pPr>
    </w:p>
    <w:p w14:paraId="5CD47DA7" w14:textId="561688F1" w:rsidR="00286CCE" w:rsidRPr="00D32096" w:rsidRDefault="00D32096" w:rsidP="006121E7">
      <w:pPr>
        <w:shd w:val="clear" w:color="auto" w:fill="FFF2CC" w:themeFill="accent4" w:themeFillTint="33"/>
        <w:spacing w:after="0"/>
        <w:contextualSpacing/>
        <w:jc w:val="center"/>
        <w:rPr>
          <w:rStyle w:val="Hyperlink"/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fldChar w:fldCharType="begin"/>
      </w:r>
      <w:r w:rsidR="00F95DE1">
        <w:rPr>
          <w:rFonts w:ascii="Arial" w:hAnsi="Arial" w:cs="Arial"/>
          <w:b/>
          <w:bCs/>
          <w:sz w:val="26"/>
          <w:szCs w:val="26"/>
        </w:rPr>
        <w:instrText>HYPERLINK "https://www.wichita.edu/academics/fairmount_college_of_liberal_arts_and_sciences/hugowall/efc/EFCWaterTraining/SunflowerForecastingSolution.pdf"</w:instrText>
      </w:r>
      <w:r w:rsidR="00F95DE1">
        <w:rPr>
          <w:rFonts w:ascii="Arial" w:hAnsi="Arial" w:cs="Arial"/>
          <w:b/>
          <w:bCs/>
          <w:sz w:val="26"/>
          <w:szCs w:val="26"/>
        </w:rPr>
      </w:r>
      <w:r>
        <w:rPr>
          <w:rFonts w:ascii="Arial" w:hAnsi="Arial" w:cs="Arial"/>
          <w:b/>
          <w:bCs/>
          <w:sz w:val="26"/>
          <w:szCs w:val="26"/>
        </w:rPr>
        <w:fldChar w:fldCharType="separate"/>
      </w:r>
      <w:r w:rsidR="006121E7" w:rsidRPr="00D32096">
        <w:rPr>
          <w:rStyle w:val="Hyperlink"/>
          <w:rFonts w:ascii="Arial" w:hAnsi="Arial" w:cs="Arial"/>
          <w:b/>
          <w:bCs/>
          <w:sz w:val="26"/>
          <w:szCs w:val="26"/>
        </w:rPr>
        <w:t xml:space="preserve">Solution (Ctrl + </w:t>
      </w:r>
      <w:r w:rsidR="006121E7" w:rsidRPr="00D32096">
        <w:rPr>
          <w:rStyle w:val="Hyperlink"/>
          <w:rFonts w:ascii="Arial" w:hAnsi="Arial" w:cs="Arial"/>
          <w:b/>
          <w:bCs/>
          <w:sz w:val="26"/>
          <w:szCs w:val="26"/>
        </w:rPr>
        <w:t>C</w:t>
      </w:r>
      <w:r w:rsidR="006121E7" w:rsidRPr="00D32096">
        <w:rPr>
          <w:rStyle w:val="Hyperlink"/>
          <w:rFonts w:ascii="Arial" w:hAnsi="Arial" w:cs="Arial"/>
          <w:b/>
          <w:bCs/>
          <w:sz w:val="26"/>
          <w:szCs w:val="26"/>
        </w:rPr>
        <w:t>lick here)</w:t>
      </w:r>
    </w:p>
    <w:p w14:paraId="5EE562E8" w14:textId="4FD8750F" w:rsidR="00286CCE" w:rsidRPr="00286CCE" w:rsidRDefault="00D32096" w:rsidP="00286CCE">
      <w:pPr>
        <w:spacing w:after="0"/>
        <w:contextualSpacing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fldChar w:fldCharType="end"/>
      </w:r>
    </w:p>
    <w:p w14:paraId="085C76E2" w14:textId="77777777" w:rsidR="00353427" w:rsidRPr="003A03D3" w:rsidRDefault="00353427">
      <w:pPr>
        <w:rPr>
          <w:rFonts w:ascii="Arial" w:hAnsi="Arial" w:cs="Arial"/>
        </w:rPr>
      </w:pPr>
    </w:p>
    <w:sectPr w:rsidR="00353427" w:rsidRPr="003A03D3" w:rsidSect="00166981">
      <w:headerReference w:type="default" r:id="rId10"/>
      <w:footerReference w:type="default" r:id="rId11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394F7" w14:textId="77777777" w:rsidR="000E64F1" w:rsidRDefault="000E64F1" w:rsidP="003A03D3">
      <w:pPr>
        <w:spacing w:after="0" w:line="240" w:lineRule="auto"/>
      </w:pPr>
      <w:r>
        <w:separator/>
      </w:r>
    </w:p>
  </w:endnote>
  <w:endnote w:type="continuationSeparator" w:id="0">
    <w:p w14:paraId="070C6EE2" w14:textId="77777777" w:rsidR="000E64F1" w:rsidRDefault="000E64F1" w:rsidP="003A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9A605" w14:textId="77777777" w:rsidR="003A03D3" w:rsidRDefault="00D47B13" w:rsidP="003A03D3">
    <w:pPr>
      <w:pStyle w:val="Footer"/>
      <w:jc w:val="center"/>
    </w:pPr>
    <w:r w:rsidRPr="003A03D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AE86FFF" wp14:editId="385ED616">
              <wp:simplePos x="0" y="0"/>
              <wp:positionH relativeFrom="margin">
                <wp:posOffset>-83820</wp:posOffset>
              </wp:positionH>
              <wp:positionV relativeFrom="paragraph">
                <wp:posOffset>-160020</wp:posOffset>
              </wp:positionV>
              <wp:extent cx="3275390" cy="365125"/>
              <wp:effectExtent l="0" t="0" r="0" b="0"/>
              <wp:wrapNone/>
              <wp:docPr id="9" name="Date Placehol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7539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AF347F" w14:textId="77777777" w:rsidR="00D47B13" w:rsidRPr="003A03D3" w:rsidRDefault="00D47B13" w:rsidP="00D47B13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color w:val="A5A5A5" w:themeColor="accent3"/>
                              <w:sz w:val="10"/>
                            </w:rPr>
                          </w:pPr>
                          <w:r w:rsidRPr="000363C6">
                            <w:rPr>
                              <w:rFonts w:ascii="Arial" w:hAnsi="Arial" w:cs="Arial"/>
                              <w:smallCaps/>
                              <w:color w:val="000000" w:themeColor="text1"/>
                              <w:kern w:val="24"/>
                              <w:sz w:val="14"/>
                              <w:szCs w:val="32"/>
                            </w:rPr>
                            <w:t>Rate Setting &amp; Financial Planning</w:t>
                          </w:r>
                        </w:p>
                      </w:txbxContent>
                    </wps:txbx>
                    <wps:bodyPr vert="horz" lIns="91440" tIns="45720" rIns="91440" bIns="45720" rtlCol="0" anchor="ctr"/>
                  </wps:wsp>
                </a:graphicData>
              </a:graphic>
            </wp:anchor>
          </w:drawing>
        </mc:Choice>
        <mc:Fallback>
          <w:pict>
            <v:shapetype w14:anchorId="7AE86FFF" id="_x0000_t202" coordsize="21600,21600" o:spt="202" path="m,l,21600r21600,l21600,xe">
              <v:stroke joinstyle="miter"/>
              <v:path gradientshapeok="t" o:connecttype="rect"/>
            </v:shapetype>
            <v:shape id="Date Placeholder 3" o:spid="_x0000_s1027" type="#_x0000_t202" style="position:absolute;left:0;text-align:left;margin-left:-6.6pt;margin-top:-12.6pt;width:257.9pt;height:28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" filled="f" stroked="f">
              <v:textbox>
                <w:txbxContent>
                  <w:p w14:paraId="7FAF347F" w14:textId="77777777" w:rsidR="00D47B13" w:rsidRPr="003A03D3" w:rsidRDefault="00D47B13" w:rsidP="00D47B13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color w:val="A5A5A5" w:themeColor="accent3"/>
                        <w:sz w:val="10"/>
                      </w:rPr>
                    </w:pPr>
                    <w:r w:rsidRPr="000363C6">
                      <w:rPr>
                        <w:rFonts w:ascii="Arial" w:hAnsi="Arial" w:cs="Arial"/>
                        <w:smallCaps/>
                        <w:color w:val="000000" w:themeColor="text1"/>
                        <w:kern w:val="24"/>
                        <w:sz w:val="14"/>
                        <w:szCs w:val="32"/>
                      </w:rPr>
                      <w:t>Rate Setting &amp; Financial Planning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A03D3">
      <w:rPr>
        <w:noProof/>
      </w:rPr>
      <w:drawing>
        <wp:inline distT="0" distB="0" distL="0" distR="0" wp14:anchorId="03CA8B65" wp14:editId="145F1002">
          <wp:extent cx="6309360" cy="101600"/>
          <wp:effectExtent l="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9360" cy="10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79A22" w14:textId="77777777" w:rsidR="000E64F1" w:rsidRDefault="000E64F1" w:rsidP="003A03D3">
      <w:pPr>
        <w:spacing w:after="0" w:line="240" w:lineRule="auto"/>
      </w:pPr>
      <w:r>
        <w:separator/>
      </w:r>
    </w:p>
  </w:footnote>
  <w:footnote w:type="continuationSeparator" w:id="0">
    <w:p w14:paraId="2F348127" w14:textId="77777777" w:rsidR="000E64F1" w:rsidRDefault="000E64F1" w:rsidP="003A0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BB0F7" w14:textId="77777777" w:rsidR="003A03D3" w:rsidRDefault="003A03D3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D36E520" wp14:editId="10BE3B8B">
              <wp:simplePos x="0" y="0"/>
              <wp:positionH relativeFrom="margin">
                <wp:posOffset>-335280</wp:posOffset>
              </wp:positionH>
              <wp:positionV relativeFrom="paragraph">
                <wp:posOffset>-365760</wp:posOffset>
              </wp:positionV>
              <wp:extent cx="62484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DEF5AE" w14:textId="77777777" w:rsidR="003A03D3" w:rsidRPr="003A03D3" w:rsidRDefault="003A03D3" w:rsidP="003A03D3">
                          <w:pPr>
                            <w:spacing w:after="0" w:line="240" w:lineRule="auto"/>
                            <w:contextualSpacing/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Sunflower Village Water Utility</w:t>
                          </w:r>
                        </w:p>
                        <w:p w14:paraId="5A83E847" w14:textId="77777777" w:rsidR="003A03D3" w:rsidRPr="003A03D3" w:rsidRDefault="00286CCE" w:rsidP="00286CCE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286C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Forecasting Exercise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D36E5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6.4pt;margin-top:-28.8pt;width:49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" filled="f" stroked="f">
              <v:textbox style="mso-fit-shape-to-text:t">
                <w:txbxContent>
                  <w:p w14:paraId="4EDEF5AE" w14:textId="77777777" w:rsidR="003A03D3" w:rsidRPr="003A03D3" w:rsidRDefault="003A03D3" w:rsidP="003A03D3">
                    <w:pPr>
                      <w:spacing w:after="0" w:line="240" w:lineRule="auto"/>
                      <w:contextualSpacing/>
                      <w:rPr>
                        <w:rFonts w:ascii="Arial" w:hAnsi="Arial" w:cs="Arial"/>
                        <w:sz w:val="32"/>
                        <w:szCs w:val="36"/>
                      </w:rPr>
                    </w:pPr>
                    <w:r w:rsidRPr="003A03D3">
                      <w:rPr>
                        <w:rFonts w:ascii="Arial" w:hAnsi="Arial" w:cs="Arial"/>
                        <w:sz w:val="32"/>
                        <w:szCs w:val="36"/>
                      </w:rPr>
                      <w:t>Sunflower Village Water Utility</w:t>
                    </w:r>
                  </w:p>
                  <w:p w14:paraId="5A83E847" w14:textId="77777777" w:rsidR="003A03D3" w:rsidRPr="003A03D3" w:rsidRDefault="00286CCE" w:rsidP="00286CCE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286CCE">
                      <w:rPr>
                        <w:rFonts w:ascii="Arial" w:hAnsi="Arial" w:cs="Arial"/>
                        <w:sz w:val="32"/>
                        <w:szCs w:val="36"/>
                      </w:rPr>
                      <w:t>Forecasting Exercise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F8C273" wp14:editId="430AE77A">
              <wp:simplePos x="0" y="0"/>
              <wp:positionH relativeFrom="column">
                <wp:posOffset>-1104900</wp:posOffset>
              </wp:positionH>
              <wp:positionV relativeFrom="paragraph">
                <wp:posOffset>-396240</wp:posOffset>
              </wp:positionV>
              <wp:extent cx="8321040" cy="670560"/>
              <wp:effectExtent l="0" t="0" r="381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21040" cy="670560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08E817A" id="Rectangle 6" o:spid="_x0000_s1026" alt="&quot;&quot;" style="position:absolute;margin-left:-87pt;margin-top:-31.2pt;width:655.2pt;height:52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" fillcolor="#a5a5a5 [3206]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ocumentProtection w:edit="readOnly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981"/>
    <w:rsid w:val="000363C6"/>
    <w:rsid w:val="0009536F"/>
    <w:rsid w:val="000E64F1"/>
    <w:rsid w:val="00166981"/>
    <w:rsid w:val="00181FCB"/>
    <w:rsid w:val="001A5138"/>
    <w:rsid w:val="00284794"/>
    <w:rsid w:val="00286CCE"/>
    <w:rsid w:val="002F526F"/>
    <w:rsid w:val="00353427"/>
    <w:rsid w:val="003A03D3"/>
    <w:rsid w:val="003B3148"/>
    <w:rsid w:val="0051001F"/>
    <w:rsid w:val="005F14BC"/>
    <w:rsid w:val="006121E7"/>
    <w:rsid w:val="006647A2"/>
    <w:rsid w:val="007A7550"/>
    <w:rsid w:val="008461FC"/>
    <w:rsid w:val="009A1F85"/>
    <w:rsid w:val="009E4591"/>
    <w:rsid w:val="00B918B2"/>
    <w:rsid w:val="00C2318E"/>
    <w:rsid w:val="00CC3599"/>
    <w:rsid w:val="00D32096"/>
    <w:rsid w:val="00D47B13"/>
    <w:rsid w:val="00DE3ED6"/>
    <w:rsid w:val="00E43810"/>
    <w:rsid w:val="00E7733E"/>
    <w:rsid w:val="00EE315F"/>
    <w:rsid w:val="00F472FC"/>
    <w:rsid w:val="00F832C3"/>
    <w:rsid w:val="00F86861"/>
    <w:rsid w:val="00F95DE1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EC5563"/>
  <w15:chartTrackingRefBased/>
  <w15:docId w15:val="{9A1477BB-C20E-4D8C-8C76-FD9B7870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3D3"/>
  </w:style>
  <w:style w:type="paragraph" w:styleId="Footer">
    <w:name w:val="footer"/>
    <w:basedOn w:val="Normal"/>
    <w:link w:val="Foot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3D3"/>
  </w:style>
  <w:style w:type="paragraph" w:styleId="NormalWeb">
    <w:name w:val="Normal (Web)"/>
    <w:basedOn w:val="Normal"/>
    <w:uiPriority w:val="99"/>
    <w:semiHidden/>
    <w:unhideWhenUsed/>
    <w:rsid w:val="003A03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363C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363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3C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21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9F2623A604548B358A1D081FFA23C" ma:contentTypeVersion="2" ma:contentTypeDescription="Create a new document." ma:contentTypeScope="" ma:versionID="28e0fc73535f3659d435b472178acd69">
  <xsd:schema xmlns:xsd="http://www.w3.org/2001/XMLSchema" xmlns:xs="http://www.w3.org/2001/XMLSchema" xmlns:p="http://schemas.microsoft.com/office/2006/metadata/properties" xmlns:ns2="5d176a5e-9f16-4e25-a634-dff2c13fa3f7" targetNamespace="http://schemas.microsoft.com/office/2006/metadata/properties" ma:root="true" ma:fieldsID="0ff729868a604fde4aa96d1d4242314c" ns2:_="">
    <xsd:import namespace="5d176a5e-9f16-4e25-a634-dff2c13fa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76a5e-9f16-4e25-a634-dff2c13f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641143-D8AA-4341-B328-8E1652E47E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5C5FAB-6C9F-4142-BF9B-3D2DA6542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BDE626-E587-4ACF-AAE3-86F353915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76a5e-9f16-4e25-a634-dff2c13fa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FABC32-8C35-4AA4-BFDF-70AF05AC7B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1328</Characters>
  <Application>Microsoft Office Word</Application>
  <DocSecurity>8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Carr, Kyle</dc:creator>
  <cp:keywords/>
  <dc:description/>
  <cp:lastModifiedBy>Ali Levine</cp:lastModifiedBy>
  <cp:revision>9</cp:revision>
  <dcterms:created xsi:type="dcterms:W3CDTF">2020-12-31T16:31:00Z</dcterms:created>
  <dcterms:modified xsi:type="dcterms:W3CDTF">2021-03-01T16:46:00Z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0x0101004489F2623A604548B358A1D081FFA23C</vt:lpwstr>
  </property>
</Properties>
</file>