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8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8"/>
      </w:tblGrid>
      <w:tr w:rsidR="006C2319" w:rsidRPr="001B52EC" w14:paraId="17E2EF19" w14:textId="77777777" w:rsidTr="00AE2800">
        <w:trPr>
          <w:cantSplit/>
          <w:tblHeader/>
          <w:jc w:val="center"/>
        </w:trPr>
        <w:tc>
          <w:tcPr>
            <w:tcW w:w="144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F259E" w14:textId="0E8F533E" w:rsidR="006C2319" w:rsidRPr="00BA584C" w:rsidRDefault="006C2319" w:rsidP="001C5D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sz w:val="22"/>
                <w:szCs w:val="22"/>
              </w:rPr>
              <w:t xml:space="preserve">Wichita State University </w:t>
            </w:r>
            <w:r w:rsidRPr="00BA584C">
              <w:rPr>
                <w:rFonts w:asciiTheme="minorHAnsi" w:hAnsiTheme="minorHAnsi"/>
                <w:b/>
                <w:sz w:val="22"/>
                <w:szCs w:val="22"/>
              </w:rPr>
              <w:t>Accreditation Report</w:t>
            </w:r>
            <w:r w:rsidR="0028213B" w:rsidRPr="00BA58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E7CB5">
              <w:rPr>
                <w:rFonts w:asciiTheme="minorHAnsi" w:hAnsiTheme="minorHAnsi"/>
                <w:b/>
                <w:sz w:val="22"/>
                <w:szCs w:val="22"/>
              </w:rPr>
              <w:t>AY25</w:t>
            </w:r>
          </w:p>
        </w:tc>
      </w:tr>
      <w:tr w:rsidR="004A760B" w:rsidRPr="001B52EC" w14:paraId="172559C0" w14:textId="77777777" w:rsidTr="0043156D">
        <w:trPr>
          <w:cantSplit/>
          <w:tblHeader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B5D9B" w14:textId="77FE88EA" w:rsidR="004A760B" w:rsidRPr="00BA584C" w:rsidRDefault="004A760B" w:rsidP="00BA584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Accreditations current</w:t>
            </w:r>
            <w:r w:rsidR="001F6A5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59DB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as </w:t>
            </w:r>
            <w:r w:rsidR="00B33B00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5529D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E7C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43071D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48422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FDC05B" w14:textId="77777777" w:rsidR="004A760B" w:rsidRPr="00BA584C" w:rsidRDefault="004A76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C92447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1A1B4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32BA" w:rsidRPr="001B52EC" w14:paraId="21C544F4" w14:textId="77777777" w:rsidTr="0043156D">
        <w:trPr>
          <w:cantSplit/>
          <w:tblHeader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C8AF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Hlk165451198"/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College or School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FA250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2AE80" w14:textId="77777777" w:rsidR="002832BA" w:rsidRPr="00BA584C" w:rsidRDefault="00F46C03" w:rsidP="00F46C0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UG/</w:t>
            </w:r>
            <w:r w:rsidR="002832BA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D63BA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Accrediting Agency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7C0E5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FE172" w14:textId="77777777" w:rsidR="002832BA" w:rsidRPr="00BA584C" w:rsidRDefault="006C2319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Effective Year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87421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C0C28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Review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B046B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Note</w:t>
            </w:r>
            <w:r w:rsidR="00BF0792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9C61B2" w:rsidRPr="00233E58" w14:paraId="41AFA0EC" w14:textId="77777777" w:rsidTr="0043156D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1471" w14:textId="77777777" w:rsidR="009C61B2" w:rsidRPr="00BA584C" w:rsidRDefault="00B33B00" w:rsidP="00B33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Wichita State University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7B0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Institutional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D1A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0D5" w14:textId="77777777" w:rsidR="009C61B2" w:rsidRPr="00F05AE7" w:rsidRDefault="009C61B2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8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F2AC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7B69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5D90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EE0" w14:textId="63DF9AC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/27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EBD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C5C08" w:rsidRPr="001B52EC" w14:paraId="25C47745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5BE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Wichita State University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52DB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Additional Location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6450" w14:textId="77777777" w:rsidR="004C5C08" w:rsidRPr="00BA584C" w:rsidRDefault="004C5C08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3936" w14:textId="77777777" w:rsidR="004C5C08" w:rsidRPr="00F05AE7" w:rsidRDefault="004C5C08" w:rsidP="009C61B2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9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90A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882D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147F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0037" w14:textId="79546B6C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/27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AAB" w14:textId="77777777" w:rsidR="004C5C08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EC2B44" w:rsidRPr="001B52EC" w14:paraId="5F8913F1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35C" w14:textId="323DF8FD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C3B2" w14:textId="77777777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Accountancy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667E" w14:textId="77777777" w:rsidR="00EC2B44" w:rsidRPr="00BA584C" w:rsidRDefault="00EC2B44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003" w14:textId="77777777" w:rsidR="00EC2B44" w:rsidRPr="00F05AE7" w:rsidRDefault="00EC2B44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0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731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2F46" w14:textId="03C914A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3F2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A880" w14:textId="1F26CD8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B05E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  <w:p w14:paraId="4D520B51" w14:textId="62B8B3BA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3EA68EB8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E582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87B7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Business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900" w14:textId="77777777" w:rsidR="00EC2B44" w:rsidRPr="00BA584C" w:rsidRDefault="00EC2B44" w:rsidP="00D9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76D0" w14:textId="77777777" w:rsidR="00EC2B44" w:rsidRPr="00F05AE7" w:rsidRDefault="00EC2B44" w:rsidP="008E51B4">
            <w:pPr>
              <w:rPr>
                <w:rFonts w:ascii="Arial" w:hAnsi="Arial" w:cs="Arial"/>
                <w:color w:val="0071BC"/>
                <w:sz w:val="20"/>
                <w:szCs w:val="20"/>
              </w:rPr>
            </w:pPr>
            <w:hyperlink r:id="rId11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666" w14:textId="77777777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Text6"/>
            <w:r w:rsidRPr="00BA584C">
              <w:rPr>
                <w:rFonts w:ascii="Arial" w:hAnsi="Arial" w:cs="Arial"/>
                <w:noProof/>
                <w:sz w:val="20"/>
                <w:szCs w:val="20"/>
              </w:rPr>
              <w:t>Accredited</w:t>
            </w:r>
            <w:bookmarkEnd w:id="1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1BD7" w14:textId="4E2A8E45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0E6E" w14:textId="77777777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529F" w14:textId="66DF2F20" w:rsidR="00EC2B44" w:rsidRPr="00BA584C" w:rsidRDefault="00EC2B44" w:rsidP="007E7A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949A" w14:textId="7EBBB041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A99" w:rsidRPr="001B52EC" w14:paraId="5E3D4A67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A38" w14:textId="5A53B6FB" w:rsidR="00587A99" w:rsidRPr="00BA584C" w:rsidRDefault="00587A99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Applied Studies</w:t>
            </w:r>
            <w:r w:rsidR="00FE4F9A">
              <w:rPr>
                <w:rFonts w:asciiTheme="minorHAnsi" w:hAnsiTheme="minorHAnsi" w:cs="Arial"/>
                <w:noProof/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3DD" w14:textId="2B2C0010" w:rsidR="00587A99" w:rsidRPr="00BA584C" w:rsidRDefault="00235CC5" w:rsidP="009C61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  <w:r w:rsidR="00EC1414">
              <w:rPr>
                <w:rFonts w:ascii="Arial" w:hAnsi="Arial" w:cs="Arial"/>
                <w:sz w:val="20"/>
              </w:rPr>
              <w:t xml:space="preserve">Counseling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DA2" w14:textId="77777777" w:rsidR="00587A99" w:rsidRPr="00BA584C" w:rsidRDefault="00587A99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A1B" w14:textId="620110C8" w:rsidR="00587A99" w:rsidRPr="00F05AE7" w:rsidRDefault="00FE4F9A" w:rsidP="00411D35">
            <w:pPr>
              <w:rPr>
                <w:rFonts w:asciiTheme="minorHAnsi" w:hAnsiTheme="minorHAnsi" w:cstheme="minorHAnsi"/>
                <w:color w:val="0071BC"/>
                <w:sz w:val="22"/>
                <w:szCs w:val="22"/>
              </w:rPr>
            </w:pPr>
            <w:hyperlink r:id="rId12" w:history="1">
              <w:r w:rsidRPr="00F05AE7">
                <w:rPr>
                  <w:rStyle w:val="Hyperlink"/>
                  <w:rFonts w:asciiTheme="minorHAnsi" w:hAnsiTheme="minorHAnsi" w:cstheme="minorHAnsi"/>
                  <w:color w:val="0071BC"/>
                  <w:sz w:val="22"/>
                  <w:szCs w:val="22"/>
                </w:rPr>
                <w:t>CACREP: Council for Accreditation of Counseling and Related Educational Programs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D7DF" w14:textId="556E1BF2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6C97" w14:textId="5AA27C55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9E2" w14:textId="2A3BD683" w:rsidR="00587A99" w:rsidRPr="00BA584C" w:rsidRDefault="00E27B43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1274" w14:textId="70455A0D" w:rsidR="00587A99" w:rsidRPr="00BA584C" w:rsidRDefault="00EC1414" w:rsidP="007F262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AD53" w14:textId="62CA55C0" w:rsidR="00587A99" w:rsidRPr="00BA584C" w:rsidRDefault="007F20A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FE4F9A" w:rsidRPr="001B52EC" w14:paraId="1ABB443E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C37FE" w14:textId="03D3697A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FEAA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8F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E65B" w14:textId="3340B115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3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CAEP: Council for the Accreditation of Educator Preparation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5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747" w14:textId="407A3F47" w:rsidR="00FE4F9A" w:rsidRPr="00BA584C" w:rsidRDefault="00234C5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5BD1" w14:textId="3EDBAFD3" w:rsidR="00FE4F9A" w:rsidRPr="00BA584C" w:rsidRDefault="0043156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7 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56A2" w14:textId="01680164" w:rsidR="00FE4F9A" w:rsidRPr="00BA584C" w:rsidRDefault="00FE4F9A" w:rsidP="00FE4F9A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234C5D">
              <w:rPr>
                <w:rFonts w:asciiTheme="minorHAnsi" w:hAnsiTheme="minorHAnsi" w:cs="Arial"/>
                <w:noProof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92C5" w14:textId="0606752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E4F9A" w:rsidRPr="001B52EC" w14:paraId="32D2CB73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CC9A" w14:textId="7C47D73C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EDC3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61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ED96" w14:textId="77777777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4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8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86CB" w14:textId="12B19075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E114" w14:textId="4B549F5C" w:rsidR="00FE4F9A" w:rsidRPr="00BA584C" w:rsidRDefault="004B2139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31B" w14:textId="3D5CBBC1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0A7" w14:textId="254103B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bookmarkEnd w:id="0"/>
      <w:tr w:rsidR="00FE4F9A" w:rsidRPr="001B52EC" w14:paraId="584B48EC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BA04" w14:textId="3A65A36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10FB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Athletic Training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4BBF" w14:textId="1988F4F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  <w:r w:rsidR="00C43B19">
              <w:rPr>
                <w:rFonts w:asciiTheme="minorHAnsi" w:hAnsiTheme="minorHAnsi" w:cs="Arial"/>
                <w:noProof/>
                <w:sz w:val="22"/>
                <w:szCs w:val="22"/>
              </w:rPr>
              <w:t>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AB5" w14:textId="641D06D6" w:rsidR="00FE4F9A" w:rsidRPr="00F05AE7" w:rsidRDefault="00AF3DE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5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CAATE: Commission on Accreditation of  Athletic Training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D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0B7E" w14:textId="5716333E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B4D7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4AA" w14:textId="4E62C693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21A3" w14:textId="5BF7A856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FE4F9A" w:rsidRPr="001B52EC" w14:paraId="637517FA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765A" w14:textId="27E12F7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34C2" w14:textId="01B570C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DD0D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2F1E" w14:textId="7C632CAF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6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NASP: National Association of School Psychologists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AE3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D7A7" w14:textId="1C246808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F3690F">
              <w:rPr>
                <w:rFonts w:asciiTheme="minorHAnsi" w:hAnsiTheme="minorHAnsi" w:cs="Arial"/>
                <w:noProof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FC8F" w14:textId="12C61EF7" w:rsidR="00FE4F9A" w:rsidRPr="00BA584C" w:rsidRDefault="00F3690F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BA18" w14:textId="737A53A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A6A" w14:textId="51ED0932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FE4F9A" w:rsidRPr="001B52EC" w14:paraId="573075D2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C480" w14:textId="003A56A0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93C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Sport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841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E0F" w14:textId="45B29EE8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7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COSMA: Commission on Sport Management Accreditation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DB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CB7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C40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3FA6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B92B" w14:textId="7F872970" w:rsidR="00FE4F9A" w:rsidRPr="00BA584C" w:rsidRDefault="00CB72A1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F20A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C2B44" w:rsidRPr="00233E58" w14:paraId="5CC00286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2E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CB0D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Aerospace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7131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1281" w14:textId="77777777" w:rsidR="00EC2B44" w:rsidRPr="00F05AE7" w:rsidRDefault="00EC2B44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8" w:history="1">
              <w:r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76C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2E1E" w14:textId="34594BE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D3E" w14:textId="595DEAD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5424" w14:textId="2A6458D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337" w14:textId="77A16EA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4292C5BD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BDF3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E300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Biomedical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B08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843" w14:textId="77777777" w:rsidR="00EC2B44" w:rsidRPr="00F05AE7" w:rsidRDefault="00EC2B44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9" w:history="1">
              <w:r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E1AF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CD43" w14:textId="6C43EFC0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899C" w14:textId="3F415A89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2B2" w14:textId="4671E1C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528" w14:textId="085EB3C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A76BB5" w14:paraId="6A0E883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C512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C1C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Computer 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D5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395" w14:textId="120888AB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0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 xml:space="preserve">Computing Accreditation Commission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C78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A0F" w14:textId="77D4643D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959" w14:textId="493B08F8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223" w14:textId="2EDB88D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6451A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9B82" w14:textId="049176F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027B2BA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1F5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BE4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Computer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82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2250" w14:textId="63D09139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1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>Computing Accreditation Commission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8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A472" w14:textId="5A7C9EAE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A7B" w14:textId="78D3EBB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3E32" w14:textId="2F06FE13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D203" w14:textId="414FC72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00AA9FA0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6A27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92E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Electrical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5979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6E6" w14:textId="77777777" w:rsidR="00EC2B44" w:rsidRPr="00F05AE7" w:rsidRDefault="00EC2B44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2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6DC7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89" w14:textId="2A2CD67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6F2F" w14:textId="750661E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2780" w14:textId="5AC48BEA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A00" w14:textId="6ED122A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D98897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6A3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46D3" w14:textId="77777777" w:rsidR="00EC2B44" w:rsidRPr="0092766C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sz w:val="22"/>
                <w:szCs w:val="22"/>
              </w:rPr>
              <w:t>Engineering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AFD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4FCA" w14:textId="77777777" w:rsidR="00EC2B44" w:rsidRPr="00F05AE7" w:rsidRDefault="00EC2B44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3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C9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1013" w14:textId="348468A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AD3" w14:textId="10E600E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5FA8" w14:textId="59F82204" w:rsidR="00EC2B44" w:rsidRPr="007B423E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  <w:highlight w:val="yellow"/>
              </w:rPr>
            </w:pPr>
            <w:r w:rsidRPr="007B423E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8560" w14:textId="316734D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A3BE68D" w14:textId="4C8535AB" w:rsidR="00344B52" w:rsidRDefault="00344B52" w:rsidP="00344B52">
      <w:pPr>
        <w:pStyle w:val="Footer"/>
        <w:rPr>
          <w:sz w:val="16"/>
          <w:szCs w:val="16"/>
        </w:rPr>
      </w:pPr>
      <w:r w:rsidRPr="00344B52">
        <w:rPr>
          <w:sz w:val="16"/>
          <w:szCs w:val="16"/>
        </w:rPr>
        <w:t>*Formerly College of Education</w:t>
      </w:r>
    </w:p>
    <w:p w14:paraId="2D68C201" w14:textId="26E774E2" w:rsidR="00344B52" w:rsidRDefault="00344B52" w:rsidP="00344B52">
      <w:pPr>
        <w:pStyle w:val="Footer"/>
        <w:rPr>
          <w:sz w:val="16"/>
          <w:szCs w:val="16"/>
        </w:rPr>
      </w:pPr>
    </w:p>
    <w:p w14:paraId="187BD7BF" w14:textId="77777777" w:rsidR="00344B52" w:rsidRPr="00344B52" w:rsidRDefault="00344B52" w:rsidP="00344B52">
      <w:pPr>
        <w:pStyle w:val="Footer"/>
        <w:rPr>
          <w:sz w:val="16"/>
          <w:szCs w:val="16"/>
        </w:rPr>
      </w:pPr>
    </w:p>
    <w:p w14:paraId="1A8FD06F" w14:textId="070879DB" w:rsidR="00344B52" w:rsidRPr="00344B52" w:rsidRDefault="00344B52">
      <w:pPr>
        <w:rPr>
          <w:sz w:val="16"/>
          <w:szCs w:val="16"/>
        </w:rPr>
      </w:pPr>
    </w:p>
    <w:tbl>
      <w:tblPr>
        <w:tblW w:w="14485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20"/>
        <w:gridCol w:w="2339"/>
        <w:gridCol w:w="6"/>
        <w:gridCol w:w="1074"/>
        <w:gridCol w:w="6"/>
        <w:gridCol w:w="3143"/>
        <w:gridCol w:w="7"/>
        <w:gridCol w:w="1254"/>
        <w:gridCol w:w="1068"/>
        <w:gridCol w:w="15"/>
        <w:gridCol w:w="1352"/>
        <w:gridCol w:w="977"/>
        <w:gridCol w:w="13"/>
        <w:gridCol w:w="804"/>
        <w:gridCol w:w="7"/>
      </w:tblGrid>
      <w:tr w:rsidR="00EC2B44" w:rsidRPr="00233E58" w14:paraId="72503457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9E87" w14:textId="1F6C589A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Engineering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58DD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Industrial Engineering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FC7D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F6" w14:textId="77777777" w:rsidR="00EC2B44" w:rsidRPr="00697DB8" w:rsidRDefault="00EC2B44" w:rsidP="00F02EF5">
            <w:pPr>
              <w:rPr>
                <w:color w:val="548DD4" w:themeColor="text2" w:themeTint="99"/>
                <w:sz w:val="20"/>
                <w:szCs w:val="20"/>
              </w:rPr>
            </w:pPr>
            <w:hyperlink r:id="rId24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 xml:space="preserve">ABET, Inc. 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5F6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9DAE" w14:textId="3AD9377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08B5" w14:textId="62BE7E9B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232" w14:textId="047D2FEC" w:rsidR="00EC2B44" w:rsidRPr="004C31E6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54DB" w14:textId="14389568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06518015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053D" w14:textId="77777777" w:rsidR="00EC2B44" w:rsidRDefault="00EC2B44" w:rsidP="00A76BB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  <w:p w14:paraId="09F4E532" w14:textId="3C3839BE" w:rsidR="00EC2B44" w:rsidRPr="00344B52" w:rsidRDefault="00EC2B44" w:rsidP="00344B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EBF" w14:textId="77777777" w:rsidR="00EC2B44" w:rsidRPr="000641C4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41C4">
              <w:rPr>
                <w:rFonts w:asciiTheme="minorHAnsi" w:hAnsiTheme="minorHAnsi" w:cs="Arial"/>
                <w:noProof/>
                <w:sz w:val="22"/>
                <w:szCs w:val="22"/>
              </w:rPr>
              <w:t>Mechanical Engineering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85F9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9154" w14:textId="77777777" w:rsidR="00EC2B44" w:rsidRPr="00697DB8" w:rsidRDefault="00EC2B44" w:rsidP="00A76BB5">
            <w:pPr>
              <w:rPr>
                <w:color w:val="548DD4" w:themeColor="text2" w:themeTint="99"/>
                <w:sz w:val="20"/>
                <w:szCs w:val="20"/>
              </w:rPr>
            </w:pPr>
            <w:hyperlink r:id="rId25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>ABET, Inc</w:t>
              </w:r>
            </w:hyperlink>
            <w:r w:rsidRPr="00697DB8">
              <w:rPr>
                <w:rFonts w:eastAsia="Arial"/>
                <w:color w:val="548DD4" w:themeColor="text2" w:themeTint="99"/>
                <w:spacing w:val="-1"/>
                <w:sz w:val="20"/>
                <w:szCs w:val="20"/>
              </w:rPr>
              <w:t xml:space="preserve">. </w:t>
            </w:r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FE4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367" w14:textId="22A06B2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1FB2" w14:textId="5278E245" w:rsidR="00EC2B44" w:rsidRPr="00BA584C" w:rsidRDefault="00030C56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E23B" w14:textId="6F998601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</w:t>
            </w:r>
            <w:r w:rsidR="00030C56"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7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0DC" w14:textId="69386C22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864617" w14:paraId="3D768F18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607" w14:textId="77777777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7C8" w14:textId="67BA51DB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Product Design and 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Manufacturing Engineering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CA1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8C2" w14:textId="77777777" w:rsidR="00EC2B44" w:rsidRPr="00697DB8" w:rsidRDefault="00EC2B44" w:rsidP="00A76BB5">
            <w:pPr>
              <w:rPr>
                <w:color w:val="548DD4" w:themeColor="text2" w:themeTint="99"/>
                <w:sz w:val="20"/>
                <w:szCs w:val="20"/>
              </w:rPr>
            </w:pPr>
            <w:hyperlink r:id="rId26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 xml:space="preserve">ABET, Inc. 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67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9CD" w14:textId="6789B9E5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7702" w14:textId="60A60D2B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8A40" w14:textId="01266113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A345" w14:textId="2861980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233E58" w14:paraId="5E339027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D7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7E9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of Music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30F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97F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7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Music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59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47F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1287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AF72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5930" w14:textId="734D6B07" w:rsidR="00EC2B44" w:rsidRPr="00BA584C" w:rsidRDefault="00EC2B44" w:rsidP="00EC2B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EC2B44" w:rsidRPr="00233E58" w14:paraId="66434AAD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2F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F7F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Dance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9A7D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E9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8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Dance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E7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19" w14:textId="4BA01750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CD24" w14:textId="63A28E8F" w:rsidR="00EC2B44" w:rsidRPr="00BA584C" w:rsidRDefault="00C4272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EC2B44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B18D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F08" w14:textId="2090896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240AA5C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9F5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8030" w14:textId="39307A6C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Art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BA584C">
              <w:rPr>
                <w:rFonts w:asciiTheme="minorHAnsi" w:hAnsiTheme="minorHAnsi" w:cs="Arial"/>
                <w:sz w:val="22"/>
                <w:szCs w:val="22"/>
              </w:rPr>
              <w:t xml:space="preserve"> Design</w:t>
            </w:r>
            <w:r>
              <w:rPr>
                <w:rFonts w:asciiTheme="minorHAnsi" w:hAnsiTheme="minorHAnsi" w:cs="Arial"/>
                <w:sz w:val="22"/>
                <w:szCs w:val="22"/>
              </w:rPr>
              <w:t>, and Creative Industries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68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2124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9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Art and Design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3E16" w14:textId="1060CA79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11CF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Associate 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Membership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D44B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649" w14:textId="0E4D06FE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10 years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F4F2" w14:textId="3E384147" w:rsidR="00EC2B44" w:rsidRPr="002775D0" w:rsidRDefault="002775D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775D0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964C" w14:textId="1BDC7DD4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16D" w:rsidRPr="001B52EC" w14:paraId="038F4520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1D3" w14:textId="77777777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16C4" w14:textId="799BB554" w:rsidR="0065216D" w:rsidRPr="0065216D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216D">
              <w:rPr>
                <w:rFonts w:asciiTheme="minorHAnsi" w:hAnsiTheme="minorHAnsi" w:cs="Arial"/>
                <w:noProof/>
                <w:sz w:val="22"/>
                <w:szCs w:val="22"/>
              </w:rPr>
              <w:t>Master of Arts in Communication Sciences and Disorders (MA-CSD; Speech-Language Pathology)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240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AF2" w14:textId="307DA4DC" w:rsidR="0065216D" w:rsidRPr="00697DB8" w:rsidRDefault="0065216D" w:rsidP="0065216D">
            <w:pPr>
              <w:rPr>
                <w:bCs/>
                <w:color w:val="548DD4" w:themeColor="text2" w:themeTint="99"/>
                <w:sz w:val="20"/>
                <w:szCs w:val="20"/>
              </w:rPr>
            </w:pPr>
            <w:hyperlink r:id="rId30" w:history="1">
              <w:r w:rsidRPr="0065216D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Council on Academic Accreditation in Audiology/Speech-Language Pathology of the American Speech-Language-Hearing Association (ASHA)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6A81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9D6" w14:textId="45407D35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411" w14:textId="557AD9F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440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E4E" w14:textId="79232A2A" w:rsidR="0065216D" w:rsidRPr="00561180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F4B32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65216D" w:rsidRPr="001B52EC" w14:paraId="2D472692" w14:textId="77777777" w:rsidTr="0065216D">
        <w:trPr>
          <w:gridAfter w:val="1"/>
          <w:wAfter w:w="7" w:type="dxa"/>
          <w:trHeight w:val="63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77C" w14:textId="77777777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75FE" w14:textId="7DFD11DE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216D">
              <w:rPr>
                <w:rFonts w:asciiTheme="minorHAnsi" w:hAnsiTheme="minorHAnsi" w:cs="Arial"/>
                <w:noProof/>
                <w:sz w:val="22"/>
                <w:szCs w:val="22"/>
              </w:rPr>
              <w:t>Doctor of Audiology (AuD)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-</w:t>
            </w: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(Clinical Doctorate)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51DD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54CA" w14:textId="775B2959" w:rsidR="0065216D" w:rsidRPr="00697DB8" w:rsidRDefault="0065216D" w:rsidP="0065216D">
            <w:pPr>
              <w:rPr>
                <w:bCs/>
                <w:color w:val="548DD4" w:themeColor="text2" w:themeTint="99"/>
                <w:sz w:val="20"/>
                <w:szCs w:val="20"/>
              </w:rPr>
            </w:pPr>
            <w:hyperlink r:id="rId31" w:history="1">
              <w:r w:rsidRPr="0065216D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Council on Academic Accreditation in Audiology/Speech-Language Pathology of the American Speech-Language-Hearing Association (ASHA)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A7E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6D5" w14:textId="4571FC7D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905" w14:textId="1D63526C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763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1A1A" w14:textId="55157568" w:rsidR="0065216D" w:rsidRPr="00561180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760435" w:rsidRPr="001B52EC" w14:paraId="20EDF10C" w14:textId="77777777" w:rsidTr="0065216D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BA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E80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669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3C5F" w14:textId="508EEEF4" w:rsidR="00760435" w:rsidRPr="00697DB8" w:rsidRDefault="002875E9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2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 xml:space="preserve">CODA: Commission on Dental Accreditation 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F03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3E14" w14:textId="0AF42DD6" w:rsidR="00760435" w:rsidRPr="00BA584C" w:rsidRDefault="002C758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5C5" w14:textId="14AED7AE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34F9" w14:textId="121F5370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1F6159"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86B" w14:textId="6AB87999" w:rsidR="00760435" w:rsidRPr="00BA584C" w:rsidRDefault="00A846A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760435" w:rsidRPr="001B52EC" w14:paraId="737EC7D8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1A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E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Advanced Education in General Dentistry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E6F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Residency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B0C2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3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on Dental Accreditation American Dental Association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07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9FB" w14:textId="15B8E7F6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17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576" w14:textId="7699EC3C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C55" w14:textId="41975B85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920" w14:textId="0803D9FE" w:rsidR="00760435" w:rsidRPr="00BA584C" w:rsidRDefault="004B7541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C5D51" w14:paraId="33674A1E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4A6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5D1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Medical Laboratory Sciences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0A40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E86" w14:textId="77777777" w:rsidR="00760435" w:rsidRPr="00697DB8" w:rsidRDefault="00760435" w:rsidP="00760435">
            <w:pPr>
              <w:rPr>
                <w:iCs/>
                <w:color w:val="548DD4" w:themeColor="text2" w:themeTint="99"/>
                <w:sz w:val="20"/>
                <w:szCs w:val="20"/>
              </w:rPr>
            </w:pPr>
            <w:hyperlink r:id="rId34" w:history="1">
              <w:r w:rsidRPr="00697DB8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National Accrediting Agency for Clinical Laboratory Sciences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A23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AA49" w14:textId="1A52949D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019" w14:textId="064A27DE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10</w:t>
            </w:r>
            <w:r w:rsidR="00760435" w:rsidRPr="00427988">
              <w:rPr>
                <w:rFonts w:asciiTheme="minorHAnsi" w:hAnsiTheme="minorHAnsi" w:cs="Arial"/>
                <w:iCs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968" w14:textId="138A4BF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20</w:t>
            </w:r>
            <w:r w:rsidR="00427988" w:rsidRPr="00E106C7">
              <w:rPr>
                <w:rFonts w:asciiTheme="minorHAnsi" w:hAnsiTheme="minorHAnsi" w:cs="Arial"/>
                <w:iCs/>
                <w:sz w:val="22"/>
                <w:szCs w:val="22"/>
              </w:rPr>
              <w:t>3</w:t>
            </w: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FAF5" w14:textId="7F46218A" w:rsidR="00760435" w:rsidRPr="00427988" w:rsidRDefault="00702A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15</w:t>
            </w:r>
          </w:p>
        </w:tc>
      </w:tr>
      <w:tr w:rsidR="00760435" w:rsidRPr="001B52EC" w14:paraId="70C5DC9B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34D2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08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86E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4946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5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Kansas State Board of Nursing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D7E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5C3E" w14:textId="6EB7E4A1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726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4531" w14:textId="68E19E29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1A1" w14:textId="14E97449" w:rsidR="00760435" w:rsidRPr="00BA584C" w:rsidRDefault="00702A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</w:tr>
      <w:tr w:rsidR="00EC2B44" w:rsidRPr="001B52EC" w14:paraId="4415E53B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E8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6AB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Nursing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3A9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5D0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6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Collegiate Nursing Education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F8A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55CB" w14:textId="12F743E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3E3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ED2" w14:textId="20238A0C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B296" w14:textId="2A59EC4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EC2B44" w:rsidRPr="001B52EC" w14:paraId="11A03B89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DFE1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6D3E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 (Doctor of Nursing Practice)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A75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07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7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Collegiate Nursing Education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80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ACD" w14:textId="73F562E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2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B9B0" w14:textId="37E161C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8CA" w14:textId="35A19F7F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60895F41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B8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6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481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25AB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8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on Accreditation for Physical Therapy Education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5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34B8" w14:textId="0C2E9CF2" w:rsidR="00760435" w:rsidRPr="00BA584C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C14" w14:textId="658D08E2" w:rsidR="00760435" w:rsidRPr="00BA584C" w:rsidRDefault="00AB11D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10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9ED0" w14:textId="5332C7F1" w:rsidR="00760435" w:rsidRPr="00624BBB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958" w14:textId="711BDC88" w:rsidR="00760435" w:rsidRPr="00BA584C" w:rsidRDefault="0097386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760435" w:rsidRPr="001B52EC" w14:paraId="517C03AE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C1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BBE" w14:textId="10C4012C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Physician Ass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ociate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AED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0AE9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9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Accreditation Review Commission  on Education for the Physician Assistant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502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Accreditation- Probation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B42" w14:textId="4AA97FE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AC0957"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4CD0" w14:textId="691FFF44" w:rsidR="00760435" w:rsidRPr="00BA584C" w:rsidRDefault="00AC095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BF99" w14:textId="6234D015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AC0957"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29FA" w14:textId="37F27809" w:rsidR="00760435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697DB8" w:rsidRPr="001B52EC" w14:paraId="552E7B51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9A3E" w14:textId="18CC34BD" w:rsidR="00697DB8" w:rsidRPr="00BA584C" w:rsidRDefault="00697DB8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Health Professions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4006" w14:textId="1DFB41C9" w:rsidR="00697DB8" w:rsidRPr="00BA584C" w:rsidRDefault="00697DB8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Health Management, BS degree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F7A0" w14:textId="5EDAB8C3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9FF9" w14:textId="598BA409" w:rsidR="00697DB8" w:rsidRPr="00697DB8" w:rsidRDefault="00697DB8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40" w:history="1">
              <w:r w:rsidRPr="00697DB8">
                <w:rPr>
                  <w:rStyle w:val="Hyperlink"/>
                  <w:color w:val="548DD4" w:themeColor="text2" w:themeTint="99"/>
                  <w:sz w:val="20"/>
                  <w:szCs w:val="20"/>
                </w:rPr>
                <w:t>Association of University Programs in Health Administration (AUPHA)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EE0B" w14:textId="71CB503C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Full Certified UG Program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0CFC" w14:textId="64D6B12B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1C74" w14:textId="2873D875" w:rsidR="00697DB8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6030" w14:textId="78D7DB3E" w:rsidR="00697DB8" w:rsidRPr="00AC0957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2027-28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E74F" w14:textId="64E92402" w:rsidR="00697DB8" w:rsidRDefault="00697DB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</w:tr>
      <w:tr w:rsidR="00EC2B44" w:rsidRPr="00441E78" w14:paraId="05E56FA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6FD2" w14:textId="0E3C9F0E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D28A" w14:textId="46AE8645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Chemistry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A65D" w14:textId="3061E90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1A67" w14:textId="37354A7F" w:rsidR="00EC2B44" w:rsidRPr="00697DB8" w:rsidRDefault="00EC2B44" w:rsidP="00EC2B44">
            <w:pPr>
              <w:rPr>
                <w:color w:val="548DD4" w:themeColor="text2" w:themeTint="99"/>
                <w:sz w:val="20"/>
                <w:szCs w:val="20"/>
              </w:rPr>
            </w:pPr>
            <w:hyperlink r:id="rId41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American Chemistry Society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8D84" w14:textId="1277B04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C39A" w14:textId="14B22182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C771" w14:textId="10BC34EC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3023" w14:textId="1F46FA28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92BF" w14:textId="00F7A1C2" w:rsidR="00EC2B44" w:rsidRDefault="00EC2B44" w:rsidP="00EC2B44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595B03" w:rsidRPr="00441E78" w14:paraId="505EF3B6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F45" w14:textId="28064063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bookmarkStart w:id="2" w:name="_Hlk165451581"/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987" w14:textId="12E0E684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Psychology (Human Factors)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4A79" w14:textId="58F8138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FCAB" w14:textId="4012A12D" w:rsidR="00595B03" w:rsidRPr="00697DB8" w:rsidRDefault="00595B03" w:rsidP="00595B03">
            <w:pPr>
              <w:rPr>
                <w:iCs/>
                <w:color w:val="548DD4" w:themeColor="text2" w:themeTint="99"/>
                <w:sz w:val="20"/>
                <w:szCs w:val="20"/>
              </w:rPr>
            </w:pPr>
            <w:hyperlink r:id="rId42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Human Factors and Ergonomics Society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F793" w14:textId="25BE017C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8DE" w14:textId="5C2831B0" w:rsidR="00595B03" w:rsidRPr="00753E83" w:rsidRDefault="00CF4B32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4215B0">
              <w:rPr>
                <w:rFonts w:asciiTheme="minorHAnsi" w:hAnsiTheme="minorHAnsi" w:cs="Arial"/>
                <w:noProof/>
                <w:sz w:val="22"/>
                <w:szCs w:val="22"/>
              </w:rPr>
              <w:t>19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6E03" w14:textId="14439781" w:rsidR="00595B03" w:rsidRPr="00753E83" w:rsidRDefault="004215B0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595B03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279" w14:textId="37C40875" w:rsidR="00595B03" w:rsidRPr="0008601F" w:rsidRDefault="0008601F" w:rsidP="00595B03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8601F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In Review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9FAF" w14:textId="59CCA8D7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</w:tr>
      <w:bookmarkEnd w:id="2"/>
      <w:tr w:rsidR="00595B03" w:rsidRPr="00441E78" w14:paraId="5F132A6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271E" w14:textId="372177A2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90C7" w14:textId="19F7650F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Public Administration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E4D4" w14:textId="42ECB6C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7E3F" w14:textId="0E2DEC2F" w:rsidR="00595B03" w:rsidRPr="00697DB8" w:rsidRDefault="00595B03" w:rsidP="00595B03">
            <w:pPr>
              <w:rPr>
                <w:color w:val="548DD4" w:themeColor="text2" w:themeTint="99"/>
                <w:sz w:val="20"/>
                <w:szCs w:val="20"/>
              </w:rPr>
            </w:pPr>
            <w:hyperlink r:id="rId43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Network of Schools of Public Policy, Affairs, and Administration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F9A5" w14:textId="12CA7768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2914" w14:textId="715205F0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9ABC" w14:textId="2BEE7F2D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2086" w14:textId="39393636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2AE" w14:textId="28B0A130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595B03" w:rsidRPr="00441E78" w14:paraId="4913E9FA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548" w14:textId="71A8B2FB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585C" w14:textId="6FE73D58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Clinical Psychology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AF44" w14:textId="1529440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A8A1" w14:textId="6B242333" w:rsidR="00595B03" w:rsidRPr="00697DB8" w:rsidRDefault="00595B03" w:rsidP="00595B03">
            <w:pPr>
              <w:rPr>
                <w:color w:val="548DD4" w:themeColor="text2" w:themeTint="99"/>
                <w:sz w:val="20"/>
                <w:szCs w:val="20"/>
              </w:rPr>
            </w:pPr>
            <w:hyperlink r:id="rId44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American Psychological Association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1C07" w14:textId="6467471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5D5" w14:textId="0FFEE39D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4553" w14:textId="1B95E1C5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CCC" w14:textId="6F294A2D" w:rsidR="00595B03" w:rsidRPr="0008601F" w:rsidRDefault="0008601F" w:rsidP="00595B03">
            <w:pPr>
              <w:jc w:val="center"/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08601F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In Review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7D8" w14:textId="6CB714E4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</w:tr>
      <w:tr w:rsidR="00AA2931" w:rsidRPr="001B52EC" w14:paraId="6CC60F9A" w14:textId="77777777" w:rsidTr="00AA2931">
        <w:trPr>
          <w:gridAfter w:val="1"/>
          <w:wAfter w:w="7" w:type="dxa"/>
          <w:trHeight w:val="38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1457" w14:textId="77777777" w:rsidR="00AA2931" w:rsidRPr="00C84668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C8466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9A7A" w14:textId="76963CD8" w:rsidR="00AA2931" w:rsidRPr="00D24319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D24319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Social Work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384C" w14:textId="5873B3A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EDC4" w14:textId="39EA44EE" w:rsidR="00AA2931" w:rsidRPr="00697DB8" w:rsidRDefault="00AA2931" w:rsidP="00AA2931">
            <w:pPr>
              <w:rPr>
                <w:noProof/>
                <w:color w:val="548DD4" w:themeColor="text2" w:themeTint="99"/>
                <w:sz w:val="20"/>
                <w:szCs w:val="20"/>
              </w:rPr>
            </w:pPr>
            <w:hyperlink r:id="rId45" w:history="1">
              <w:r w:rsidRPr="00697DB8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Council on Social Work Education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D97" w14:textId="2BA38D3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C2F4" w14:textId="46C7F1AB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F8BE" w14:textId="293E5BCE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38AE" w14:textId="02566832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291" w14:textId="1C655A5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24</w:t>
            </w:r>
          </w:p>
        </w:tc>
      </w:tr>
      <w:tr w:rsidR="00AA2931" w:rsidRPr="001B52EC" w14:paraId="76BA10DC" w14:textId="77777777" w:rsidTr="006F4332">
        <w:trPr>
          <w:trHeight w:val="31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2188" w14:textId="46F68183" w:rsidR="00AA2931" w:rsidRPr="00C84668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Ulrich Museum </w:t>
            </w:r>
            <w:r w:rsidR="006F4332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of Art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146E" w14:textId="78250B6B" w:rsidR="00AA2931" w:rsidRPr="00C84668" w:rsidRDefault="00DF328C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University Museum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9860" w14:textId="23CB77F1" w:rsidR="00AA2931" w:rsidRPr="00C84668" w:rsidRDefault="006F4332" w:rsidP="006F4332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819B" w14:textId="0B952389" w:rsidR="00AA2931" w:rsidRPr="006F4332" w:rsidRDefault="006F4332" w:rsidP="00AA2931">
            <w:pPr>
              <w:rPr>
                <w:iCs/>
                <w:noProof/>
                <w:sz w:val="22"/>
                <w:szCs w:val="22"/>
              </w:rPr>
            </w:pPr>
            <w:hyperlink r:id="rId46" w:history="1">
              <w:r w:rsidRPr="006F4332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American Alliance of Museums</w:t>
              </w:r>
            </w:hyperlink>
            <w:r w:rsidRPr="006F4332">
              <w:rPr>
                <w:iCs/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CBE9" w14:textId="7E6DB00F" w:rsidR="00AA2931" w:rsidRPr="00C84668" w:rsidRDefault="006F4332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Accreditated and Member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70C0" w14:textId="45060659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5E0E" w14:textId="479D0A8A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10 years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EC92" w14:textId="2EE0CD9F" w:rsidR="00AA2931" w:rsidRPr="0008601F" w:rsidRDefault="00DF328C" w:rsidP="00DF328C">
            <w:pPr>
              <w:jc w:val="center"/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08601F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In Review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9C4C" w14:textId="626A9B9D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26</w:t>
            </w:r>
          </w:p>
        </w:tc>
      </w:tr>
    </w:tbl>
    <w:p w14:paraId="24279B29" w14:textId="77777777" w:rsidR="00AA2931" w:rsidRDefault="00AA2931" w:rsidP="004C5DE2">
      <w:pPr>
        <w:rPr>
          <w:rFonts w:asciiTheme="minorHAnsi" w:hAnsiTheme="minorHAnsi" w:cs="Arial"/>
          <w:sz w:val="22"/>
          <w:szCs w:val="22"/>
        </w:rPr>
      </w:pPr>
    </w:p>
    <w:p w14:paraId="072E63C7" w14:textId="77777777" w:rsidR="00AA2931" w:rsidRDefault="00AA2931" w:rsidP="004C5DE2">
      <w:pPr>
        <w:rPr>
          <w:rFonts w:asciiTheme="minorHAnsi" w:hAnsiTheme="minorHAnsi" w:cs="Arial"/>
          <w:sz w:val="22"/>
          <w:szCs w:val="22"/>
        </w:rPr>
      </w:pPr>
    </w:p>
    <w:p w14:paraId="38848D55" w14:textId="1E784651" w:rsidR="00441E78" w:rsidRDefault="00FE4F9A" w:rsidP="004C5D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*Formerly College of Education </w:t>
      </w:r>
    </w:p>
    <w:p w14:paraId="502EBC76" w14:textId="77777777" w:rsidR="004C5DE2" w:rsidRDefault="004C5DE2" w:rsidP="004C5DE2">
      <w:pPr>
        <w:rPr>
          <w:rFonts w:asciiTheme="minorHAnsi" w:hAnsiTheme="minorHAnsi" w:cs="Arial"/>
          <w:sz w:val="22"/>
          <w:szCs w:val="22"/>
        </w:rPr>
      </w:pPr>
      <w:r w:rsidRPr="001B52EC">
        <w:rPr>
          <w:rFonts w:asciiTheme="minorHAnsi" w:hAnsiTheme="minorHAnsi" w:cs="Arial"/>
          <w:sz w:val="22"/>
          <w:szCs w:val="22"/>
        </w:rPr>
        <w:t>Notes</w:t>
      </w:r>
      <w:r w:rsidR="001A3475">
        <w:rPr>
          <w:rFonts w:asciiTheme="minorHAnsi" w:hAnsiTheme="minorHAnsi" w:cs="Arial"/>
          <w:sz w:val="22"/>
          <w:szCs w:val="22"/>
        </w:rPr>
        <w:t>:</w:t>
      </w:r>
    </w:p>
    <w:p w14:paraId="2C00D8C1" w14:textId="69173336" w:rsidR="001A3475" w:rsidRPr="00A76BB5" w:rsidRDefault="00715CCA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HLC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Accreditation continuation confirmed January 30, 2017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.  Reaffirmation Review Report findings: all criteria met; no interim monitoring recommended.  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>Assurance Argument 4-year update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 submitted June 14,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 xml:space="preserve"> 2021.</w:t>
      </w:r>
      <w:r w:rsidR="00D07E2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Assurance Argument affirmation of confirmation without comment June 27, 2021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Next visit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2026-2027 AY</w:t>
      </w:r>
      <w:r w:rsidR="004C5DE2" w:rsidRPr="00A76BB5">
        <w:rPr>
          <w:rFonts w:asciiTheme="minorHAnsi" w:hAnsiTheme="minorHAnsi" w:cstheme="minorHAnsi"/>
          <w:sz w:val="22"/>
          <w:szCs w:val="22"/>
        </w:rPr>
        <w:t>.</w:t>
      </w:r>
      <w:r w:rsidR="006722F7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2E71" w14:textId="6179B769" w:rsidR="00D3511D" w:rsidRPr="00A76BB5" w:rsidRDefault="00A235AC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Additional Location </w:t>
      </w:r>
      <w:r w:rsidRPr="00A76BB5">
        <w:rPr>
          <w:rFonts w:asciiTheme="minorHAnsi" w:hAnsiTheme="minorHAnsi" w:cstheme="minorHAnsi"/>
          <w:sz w:val="22"/>
          <w:szCs w:val="22"/>
        </w:rPr>
        <w:t>Confirmation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sz w:val="22"/>
          <w:szCs w:val="22"/>
        </w:rPr>
        <w:t xml:space="preserve">Report received on March 6, </w:t>
      </w:r>
      <w:r w:rsidR="00D07E2C" w:rsidRPr="00A76BB5">
        <w:rPr>
          <w:rFonts w:asciiTheme="minorHAnsi" w:hAnsiTheme="minorHAnsi" w:cstheme="minorHAnsi"/>
          <w:sz w:val="22"/>
          <w:szCs w:val="22"/>
        </w:rPr>
        <w:t>2019,</w:t>
      </w:r>
      <w:r w:rsidRPr="00A76BB5">
        <w:rPr>
          <w:rFonts w:asciiTheme="minorHAnsi" w:hAnsiTheme="minorHAnsi" w:cstheme="minorHAnsi"/>
          <w:sz w:val="22"/>
          <w:szCs w:val="22"/>
        </w:rPr>
        <w:t xml:space="preserve"> providing affirmation of WSU Old Town and WSU South as additional locations for service delivery.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Confirmation of approval of Kansas State University as additional location for nursing program March 16, 2022.</w:t>
      </w:r>
    </w:p>
    <w:p w14:paraId="7E6A8614" w14:textId="36A0FA5E" w:rsidR="004C5DE2" w:rsidRPr="00A76BB5" w:rsidRDefault="00F02C11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0DBA">
        <w:rPr>
          <w:rFonts w:asciiTheme="minorHAnsi" w:hAnsiTheme="minorHAnsi" w:cstheme="minorHAnsi"/>
          <w:color w:val="FF0000"/>
          <w:sz w:val="22"/>
          <w:szCs w:val="22"/>
        </w:rPr>
        <w:t>AACSB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affirmed accreditation for </w:t>
      </w:r>
      <w:r w:rsidR="00C42724">
        <w:rPr>
          <w:rFonts w:asciiTheme="minorHAnsi" w:hAnsiTheme="minorHAnsi" w:cstheme="minorHAnsi"/>
          <w:b/>
          <w:sz w:val="22"/>
          <w:szCs w:val="22"/>
        </w:rPr>
        <w:t>B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usiness and </w:t>
      </w:r>
      <w:r>
        <w:rPr>
          <w:rFonts w:asciiTheme="minorHAnsi" w:hAnsiTheme="minorHAnsi" w:cstheme="minorHAnsi"/>
          <w:b/>
          <w:sz w:val="22"/>
          <w:szCs w:val="22"/>
        </w:rPr>
        <w:t>School of A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>ccountancy</w:t>
      </w:r>
      <w:r>
        <w:rPr>
          <w:rFonts w:asciiTheme="minorHAnsi" w:hAnsiTheme="minorHAnsi" w:cstheme="minorHAnsi"/>
          <w:b/>
          <w:sz w:val="22"/>
          <w:szCs w:val="22"/>
        </w:rPr>
        <w:t xml:space="preserve"> in June 2023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>
        <w:rPr>
          <w:rFonts w:asciiTheme="minorHAnsi" w:hAnsiTheme="minorHAnsi" w:cstheme="minorHAnsi"/>
          <w:bCs/>
          <w:sz w:val="22"/>
          <w:szCs w:val="22"/>
        </w:rPr>
        <w:t xml:space="preserve">Accountancy, Business Administration, Business Analytics,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Economics, </w:t>
      </w:r>
      <w:r>
        <w:rPr>
          <w:rFonts w:asciiTheme="minorHAnsi" w:hAnsiTheme="minorHAnsi" w:cstheme="minorHAnsi"/>
          <w:bCs/>
          <w:sz w:val="22"/>
          <w:szCs w:val="22"/>
        </w:rPr>
        <w:t xml:space="preserve">Entrepreneurship, 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Finance, </w:t>
      </w:r>
      <w:r>
        <w:rPr>
          <w:rFonts w:asciiTheme="minorHAnsi" w:hAnsiTheme="minorHAnsi" w:cstheme="minorHAnsi"/>
          <w:bCs/>
          <w:sz w:val="22"/>
          <w:szCs w:val="22"/>
        </w:rPr>
        <w:t xml:space="preserve">Human Resource Management, International Business, </w:t>
      </w:r>
      <w:r w:rsidRPr="00F02C11">
        <w:rPr>
          <w:rFonts w:asciiTheme="minorHAnsi" w:hAnsiTheme="minorHAnsi" w:cstheme="minorHAnsi"/>
          <w:bCs/>
          <w:sz w:val="22"/>
          <w:szCs w:val="22"/>
        </w:rPr>
        <w:t xml:space="preserve">Management,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>and Marketing, at Graduate and Undergraduate levels.</w:t>
      </w:r>
      <w:r w:rsidR="004B6DDB" w:rsidRPr="00A76B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A6B615" w14:textId="4B754CD3" w:rsidR="004C5DE2" w:rsidRPr="00030C56" w:rsidRDefault="004C5DE2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766C">
        <w:rPr>
          <w:rFonts w:asciiTheme="minorHAnsi" w:hAnsiTheme="minorHAnsi" w:cstheme="minorHAnsi"/>
          <w:color w:val="CD2026"/>
          <w:sz w:val="22"/>
          <w:szCs w:val="22"/>
        </w:rPr>
        <w:t xml:space="preserve">ABET, Inc. </w:t>
      </w:r>
      <w:r w:rsidRPr="0092766C">
        <w:rPr>
          <w:rFonts w:asciiTheme="minorHAnsi" w:hAnsiTheme="minorHAnsi" w:cstheme="minorHAnsi"/>
          <w:sz w:val="22"/>
          <w:szCs w:val="22"/>
        </w:rPr>
        <w:t xml:space="preserve">policy prohibits public disclosure of the period for which a program is accredited, though institutions may publish the year of the last </w:t>
      </w:r>
      <w:r w:rsidR="00B0021F" w:rsidRPr="0092766C">
        <w:rPr>
          <w:rFonts w:asciiTheme="minorHAnsi" w:hAnsiTheme="minorHAnsi" w:cstheme="minorHAnsi"/>
          <w:sz w:val="22"/>
          <w:szCs w:val="22"/>
        </w:rPr>
        <w:t xml:space="preserve">and </w:t>
      </w:r>
      <w:r w:rsidRPr="0092766C">
        <w:rPr>
          <w:rFonts w:asciiTheme="minorHAnsi" w:hAnsiTheme="minorHAnsi" w:cstheme="minorHAnsi"/>
          <w:sz w:val="22"/>
          <w:szCs w:val="22"/>
        </w:rPr>
        <w:t>next review.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1C5D51" w:rsidRPr="0092766C">
        <w:rPr>
          <w:rFonts w:asciiTheme="minorHAnsi" w:hAnsiTheme="minorHAnsi" w:cstheme="minorHAnsi"/>
          <w:bCs/>
          <w:sz w:val="22"/>
          <w:szCs w:val="22"/>
        </w:rPr>
        <w:t>Site visit held November 15 – 17, 2020.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 </w:t>
      </w:r>
      <w:r w:rsidR="00AB11D7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Accreditation affirmed </w:t>
      </w:r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until Sept. 30, 2027 for </w:t>
      </w:r>
      <w:r w:rsidR="0092766C" w:rsidRPr="0092766C">
        <w:rPr>
          <w:rFonts w:asciiTheme="minorHAnsi" w:hAnsiTheme="minorHAnsi" w:cstheme="minorHAnsi"/>
          <w:sz w:val="22"/>
          <w:szCs w:val="22"/>
        </w:rPr>
        <w:t>Aerospace Engineering (B.S. in Aerospace Engineering), Biomedical Engineering (B.S. in Biomedical Engineering), Computer Engineering (B.S. in Computer Engineering), Computer Science (Bachelor of Science)</w:t>
      </w:r>
      <w:r w:rsidR="0092766C">
        <w:rPr>
          <w:rFonts w:asciiTheme="minorHAnsi" w:hAnsiTheme="minorHAnsi" w:cstheme="minorHAnsi"/>
          <w:sz w:val="22"/>
          <w:szCs w:val="22"/>
        </w:rPr>
        <w:t xml:space="preserve">, </w:t>
      </w:r>
      <w:r w:rsidR="0092766C" w:rsidRPr="0092766C">
        <w:rPr>
          <w:rFonts w:asciiTheme="minorHAnsi" w:hAnsiTheme="minorHAnsi" w:cstheme="minorHAnsi"/>
          <w:sz w:val="22"/>
          <w:szCs w:val="22"/>
        </w:rPr>
        <w:t>Electrical Engineering (B.S. in Electrical Engineering),</w:t>
      </w:r>
      <w:r w:rsidR="0092766C" w:rsidRPr="0092766C">
        <w:rPr>
          <w:rFonts w:ascii="Campton-Medium" w:hAnsi="Campton-Medium" w:cs="Campton-Medium"/>
          <w:sz w:val="20"/>
          <w:szCs w:val="20"/>
        </w:rPr>
        <w:t xml:space="preserve"> </w:t>
      </w:r>
      <w:r w:rsidR="0092766C" w:rsidRPr="0092766C">
        <w:rPr>
          <w:rFonts w:asciiTheme="minorHAnsi" w:hAnsiTheme="minorHAnsi" w:cstheme="minorHAnsi"/>
          <w:sz w:val="22"/>
          <w:szCs w:val="22"/>
        </w:rPr>
        <w:t>Engineering Technology (B.S. in Engineering Technology)</w:t>
      </w:r>
      <w:r w:rsidR="0092766C">
        <w:rPr>
          <w:rFonts w:asciiTheme="minorHAnsi" w:hAnsiTheme="minorHAnsi" w:cstheme="minorHAnsi"/>
          <w:sz w:val="22"/>
          <w:szCs w:val="22"/>
        </w:rPr>
        <w:t>,</w:t>
      </w:r>
      <w:r w:rsidR="0092766C" w:rsidRPr="0092766C">
        <w:rPr>
          <w:rFonts w:asciiTheme="minorHAnsi" w:hAnsiTheme="minorHAnsi" w:cstheme="minorHAnsi"/>
          <w:sz w:val="22"/>
          <w:szCs w:val="22"/>
        </w:rPr>
        <w:t xml:space="preserve"> Industrial Engineering (B.S. in Industrial Engineering), and Product Design and Manufacturing Engineering (Bachelor of Science)</w:t>
      </w:r>
      <w:r w:rsidR="00AB11D7" w:rsidRPr="0092766C">
        <w:rPr>
          <w:rFonts w:asciiTheme="minorHAnsi" w:hAnsiTheme="minorHAnsi" w:cstheme="minorHAnsi"/>
          <w:sz w:val="22"/>
          <w:szCs w:val="22"/>
        </w:rPr>
        <w:t>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92766C" w:rsidRPr="0092766C">
        <w:rPr>
          <w:rFonts w:asciiTheme="minorHAnsi" w:hAnsiTheme="minorHAnsi" w:cstheme="minorHAnsi"/>
          <w:bCs/>
          <w:sz w:val="22"/>
          <w:szCs w:val="22"/>
        </w:rPr>
        <w:t>Next self-study due July 1, 2026.</w:t>
      </w:r>
      <w:r w:rsidR="00927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BB5" w:rsidRPr="00030C56">
        <w:rPr>
          <w:rFonts w:asciiTheme="minorHAnsi" w:hAnsiTheme="minorHAnsi" w:cstheme="minorHAnsi"/>
          <w:bCs/>
          <w:sz w:val="22"/>
          <w:szCs w:val="22"/>
        </w:rPr>
        <w:t>Mechanical Engineering required to initiate a reaccreditation report evaluation in response to concerns by July 1, 2022.</w:t>
      </w:r>
      <w:r w:rsidR="00030C56">
        <w:rPr>
          <w:rFonts w:asciiTheme="minorHAnsi" w:hAnsiTheme="minorHAnsi" w:cstheme="minorHAnsi"/>
          <w:bCs/>
          <w:sz w:val="22"/>
          <w:szCs w:val="22"/>
        </w:rPr>
        <w:t xml:space="preserve"> ABET conducted evaluation for Mechanical engineering and issued accreditation until Sept. 30, 2027. </w:t>
      </w:r>
      <w:r w:rsidR="00030C56" w:rsidRPr="0092766C">
        <w:rPr>
          <w:rFonts w:asciiTheme="minorHAnsi" w:hAnsiTheme="minorHAnsi" w:cstheme="minorHAnsi"/>
          <w:bCs/>
          <w:sz w:val="22"/>
          <w:szCs w:val="22"/>
        </w:rPr>
        <w:t>Next self-study due July 1, 2026</w:t>
      </w:r>
    </w:p>
    <w:p w14:paraId="1E6B2D18" w14:textId="6197BD35" w:rsidR="008145AB" w:rsidRPr="008145AB" w:rsidRDefault="008145A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approve accreditation for Bachelor of Arts in Dance until 2025. </w:t>
      </w:r>
    </w:p>
    <w:p w14:paraId="662654FB" w14:textId="02370B5F" w:rsidR="008145AB" w:rsidRPr="008145AB" w:rsidRDefault="008145AB" w:rsidP="008145AB">
      <w:pPr>
        <w:pStyle w:val="ListParagraph"/>
        <w:ind w:left="540"/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accept response and grant plan approval and final approval for listing Bachelor of Applied Arts – 4 years: Media Arts (Collaborative Design) with request for progress report by September 1, 2023. </w:t>
      </w:r>
    </w:p>
    <w:p w14:paraId="51B14E06" w14:textId="77777777" w:rsidR="002775D0" w:rsidRDefault="008018D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for Schools of Art and Design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(NASAD)</w:t>
      </w:r>
      <w:r w:rsidRPr="00A76BB5">
        <w:rPr>
          <w:rFonts w:asciiTheme="minorHAnsi" w:hAnsiTheme="minorHAnsi" w:cstheme="minorHAnsi"/>
          <w:sz w:val="22"/>
          <w:szCs w:val="22"/>
        </w:rPr>
        <w:t xml:space="preserve"> – </w:t>
      </w:r>
      <w:r w:rsidR="00EA10A2">
        <w:rPr>
          <w:rFonts w:asciiTheme="minorHAnsi" w:hAnsiTheme="minorHAnsi" w:cstheme="minorHAnsi"/>
          <w:sz w:val="22"/>
          <w:szCs w:val="22"/>
        </w:rPr>
        <w:t xml:space="preserve">Commission voted </w:t>
      </w:r>
      <w:r w:rsidR="002775D0">
        <w:rPr>
          <w:rFonts w:asciiTheme="minorHAnsi" w:hAnsiTheme="minorHAnsi" w:cstheme="minorHAnsi"/>
          <w:sz w:val="22"/>
          <w:szCs w:val="22"/>
        </w:rPr>
        <w:t xml:space="preserve">October 2024 to accept progress report. This closed the comprehensive evaluation process. Next comprehensive review is scheduled to be  conducted during 2024-25 academic year. </w:t>
      </w:r>
    </w:p>
    <w:p w14:paraId="35AE211E" w14:textId="1A0B0B3B" w:rsidR="00C42724" w:rsidRPr="00A76BB5" w:rsidRDefault="00B409A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Accredited programs: </w:t>
      </w:r>
      <w:r w:rsidRPr="00B409A6">
        <w:rPr>
          <w:rFonts w:asciiTheme="minorHAnsi" w:hAnsiTheme="minorHAnsi" w:cstheme="minorHAnsi"/>
          <w:sz w:val="22"/>
          <w:szCs w:val="22"/>
        </w:rPr>
        <w:t>Bachelor of Arts-4 years: Art (Art)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Bachelor of Applied Arts-4 years: Media Arts (Animation, Collaborative Design, Filmmaking, Game Design)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Bachelor of Fine Arts-4 years: Art (Art Education, Ceramics, Painting, Drawing, Painting, Printmaking, Sculpture); Graphic Design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Master of Fine Arts-3 years: Art (Ceramics, Painting, Printmaking, Sculpture)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Bachelor of Arts-4 years: Art (Art History)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Bachelor of Fine Arts-4 years: Studio Art (Community and Social Practices, Electronic Media, Photo Media)</w:t>
      </w:r>
      <w:r>
        <w:rPr>
          <w:rFonts w:asciiTheme="minorHAnsi" w:hAnsiTheme="minorHAnsi" w:cstheme="minorHAnsi"/>
          <w:sz w:val="22"/>
          <w:szCs w:val="22"/>
        </w:rPr>
        <w:t xml:space="preserve">; and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Master of Fine Arts-3 years: Art (Photo Media)</w:t>
      </w:r>
      <w:r w:rsidRPr="00B409A6">
        <w:rPr>
          <w:rFonts w:asciiTheme="minorHAnsi" w:hAnsiTheme="minorHAnsi" w:cstheme="minorHAnsi"/>
          <w:sz w:val="22"/>
          <w:szCs w:val="22"/>
        </w:rPr>
        <w:t>.</w:t>
      </w:r>
      <w:r w:rsidR="00EA10A2" w:rsidRPr="00EA10A2">
        <w:rPr>
          <w:rFonts w:asciiTheme="minorHAnsi" w:hAnsiTheme="minorHAnsi" w:cstheme="minorHAnsi"/>
          <w:sz w:val="22"/>
          <w:szCs w:val="22"/>
        </w:rPr>
        <w:t xml:space="preserve"> </w:t>
      </w:r>
      <w:r w:rsidR="00EA10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D06A13" w14:textId="331E8FE2" w:rsidR="004C5DE2" w:rsidRDefault="003F0C2F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lastRenderedPageBreak/>
        <w:t>CAEP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initial accreditation</w:t>
      </w:r>
      <w:r w:rsidR="00F450F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and</w:t>
      </w:r>
      <w:r w:rsidR="0017590B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CAEP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advanced-level accreditation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, </w:t>
      </w:r>
      <w:r w:rsidR="0017590B" w:rsidRPr="0017590B">
        <w:rPr>
          <w:rFonts w:asciiTheme="minorHAnsi" w:hAnsiTheme="minorHAnsi" w:cstheme="minorHAnsi"/>
          <w:bCs/>
          <w:sz w:val="22"/>
          <w:szCs w:val="22"/>
        </w:rPr>
        <w:t xml:space="preserve">until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Fall 20</w:t>
      </w:r>
      <w:r w:rsidR="00F450FE">
        <w:rPr>
          <w:rFonts w:asciiTheme="minorHAnsi" w:hAnsiTheme="minorHAnsi" w:cstheme="minorHAnsi"/>
          <w:bCs/>
          <w:sz w:val="22"/>
          <w:szCs w:val="22"/>
        </w:rPr>
        <w:t>31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.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 xml:space="preserve">Next Site Visit 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for initial &amp; advanced, Spring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20</w:t>
      </w:r>
      <w:r w:rsidR="00F450FE">
        <w:rPr>
          <w:rFonts w:asciiTheme="minorHAnsi" w:hAnsiTheme="minorHAnsi" w:cstheme="minorHAnsi"/>
          <w:bCs/>
          <w:sz w:val="22"/>
          <w:szCs w:val="22"/>
        </w:rPr>
        <w:t>31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.</w:t>
      </w:r>
      <w:r w:rsidR="004C5DE2" w:rsidRPr="005218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 w:rsidR="0043156D">
        <w:rPr>
          <w:rFonts w:asciiTheme="minorHAnsi" w:hAnsiTheme="minorHAnsi" w:cstheme="minorHAnsi"/>
          <w:bCs/>
          <w:sz w:val="22"/>
          <w:szCs w:val="22"/>
        </w:rPr>
        <w:t>initial licensure programs (ECU</w:t>
      </w:r>
      <w:r w:rsidR="0052181D">
        <w:rPr>
          <w:rFonts w:asciiTheme="minorHAnsi" w:hAnsiTheme="minorHAnsi" w:cstheme="minorHAnsi"/>
          <w:bCs/>
          <w:sz w:val="22"/>
          <w:szCs w:val="22"/>
        </w:rPr>
        <w:t>,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MAT-ECU, T2T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, Elementary Education,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middle level and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Secondary Education</w:t>
      </w:r>
      <w:r w:rsidR="0052181D">
        <w:rPr>
          <w:rFonts w:asciiTheme="minorHAnsi" w:hAnsiTheme="minorHAnsi" w:cstheme="minorHAnsi"/>
          <w:bCs/>
          <w:sz w:val="22"/>
          <w:szCs w:val="22"/>
        </w:rPr>
        <w:t>)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Education-PreK-12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Programs (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Physical Education, Music Education</w:t>
      </w:r>
      <w:r w:rsidR="0043156D">
        <w:rPr>
          <w:rFonts w:asciiTheme="minorHAnsi" w:hAnsiTheme="minorHAnsi" w:cstheme="minorHAnsi"/>
          <w:bCs/>
          <w:sz w:val="22"/>
          <w:szCs w:val="22"/>
        </w:rPr>
        <w:t>, Art Education, World Languages)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, and Advanced programs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52181D">
        <w:rPr>
          <w:rFonts w:asciiTheme="minorHAnsi" w:hAnsiTheme="minorHAnsi" w:cstheme="minorHAnsi"/>
          <w:bCs/>
          <w:sz w:val="22"/>
          <w:szCs w:val="22"/>
        </w:rPr>
        <w:t>result in additional license (Building Leadership, District Leadership, ESOL, Reading Specialist, School counseling, School Psychology, Special Education (ECU, Low Incidence, High Incidence, High Incidence-Alt Cert.)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0F95">
        <w:rPr>
          <w:rFonts w:asciiTheme="minorHAnsi" w:hAnsiTheme="minorHAnsi" w:cstheme="minorHAnsi"/>
          <w:bCs/>
          <w:sz w:val="22"/>
          <w:szCs w:val="22"/>
        </w:rPr>
        <w:t>All standards met.</w:t>
      </w:r>
    </w:p>
    <w:p w14:paraId="225AA4D4" w14:textId="2EE1CE02" w:rsidR="0069495B" w:rsidRPr="000A1734" w:rsidRDefault="0069495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Hlk165451241"/>
      <w:proofErr w:type="gramStart"/>
      <w:r>
        <w:rPr>
          <w:rFonts w:asciiTheme="minorHAnsi" w:hAnsiTheme="minorHAnsi" w:cstheme="minorHAnsi"/>
          <w:bCs/>
          <w:color w:val="CD2026"/>
          <w:sz w:val="22"/>
          <w:szCs w:val="22"/>
        </w:rPr>
        <w:t>Kansas State Board of Education,</w:t>
      </w:r>
      <w:proofErr w:type="gramEnd"/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Pr="0069495B">
        <w:rPr>
          <w:rFonts w:asciiTheme="minorHAnsi" w:hAnsiTheme="minorHAnsi" w:cstheme="minorHAnsi"/>
          <w:bCs/>
          <w:sz w:val="22"/>
          <w:szCs w:val="22"/>
        </w:rPr>
        <w:t>affirmed accreditation for initial teacher preparation and advanced level programs through December 31, 202</w:t>
      </w:r>
      <w:r w:rsidR="006209DB">
        <w:rPr>
          <w:rFonts w:asciiTheme="minorHAnsi" w:hAnsiTheme="minorHAnsi" w:cstheme="minorHAnsi"/>
          <w:bCs/>
          <w:sz w:val="22"/>
          <w:szCs w:val="22"/>
        </w:rPr>
        <w:t>9</w:t>
      </w:r>
      <w:r w:rsidRPr="0069495B">
        <w:rPr>
          <w:rFonts w:asciiTheme="minorHAnsi" w:hAnsiTheme="minorHAnsi" w:cstheme="minorHAnsi"/>
          <w:bCs/>
          <w:sz w:val="22"/>
          <w:szCs w:val="22"/>
        </w:rPr>
        <w:t>. Next level of program reviews occurs in Fall 202</w:t>
      </w:r>
      <w:r w:rsidR="006209DB">
        <w:rPr>
          <w:rFonts w:asciiTheme="minorHAnsi" w:hAnsiTheme="minorHAnsi" w:cstheme="minorHAnsi"/>
          <w:bCs/>
          <w:sz w:val="22"/>
          <w:szCs w:val="22"/>
        </w:rPr>
        <w:t>7</w:t>
      </w:r>
      <w:r w:rsidRPr="0069495B">
        <w:rPr>
          <w:rFonts w:asciiTheme="minorHAnsi" w:hAnsiTheme="minorHAnsi" w:cstheme="minorHAnsi"/>
          <w:bCs/>
          <w:sz w:val="22"/>
          <w:szCs w:val="22"/>
        </w:rPr>
        <w:t>-Summer 202</w:t>
      </w:r>
      <w:r w:rsidR="006209DB">
        <w:rPr>
          <w:rFonts w:asciiTheme="minorHAnsi" w:hAnsiTheme="minorHAnsi" w:cstheme="minorHAnsi"/>
          <w:bCs/>
          <w:sz w:val="22"/>
          <w:szCs w:val="22"/>
        </w:rPr>
        <w:t>8</w:t>
      </w:r>
      <w:r w:rsidRPr="0069495B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3"/>
    <w:p w14:paraId="29ADAA5C" w14:textId="77777777" w:rsidR="000A1734" w:rsidRPr="009775D7" w:rsidRDefault="000A1734" w:rsidP="000A17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775D7">
        <w:rPr>
          <w:rFonts w:asciiTheme="minorHAnsi" w:hAnsiTheme="minorHAnsi" w:cstheme="minorHAnsi"/>
          <w:sz w:val="22"/>
          <w:szCs w:val="22"/>
        </w:rPr>
        <w:t xml:space="preserve">The Board of Directors for the </w:t>
      </w:r>
      <w:r w:rsidRPr="009775D7">
        <w:rPr>
          <w:rFonts w:asciiTheme="minorHAnsi" w:hAnsiTheme="minorHAnsi" w:cstheme="minorHAnsi"/>
          <w:color w:val="CD2026"/>
          <w:sz w:val="22"/>
          <w:szCs w:val="22"/>
        </w:rPr>
        <w:t>Council for Accreditation of Counseling and Related Educational Programs</w:t>
      </w:r>
      <w:r w:rsidRPr="0097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(CACREP) </w:t>
      </w:r>
      <w:r w:rsidRPr="009775D7">
        <w:rPr>
          <w:rFonts w:asciiTheme="minorHAnsi" w:hAnsiTheme="minorHAnsi" w:cstheme="minorHAnsi"/>
          <w:b/>
          <w:bCs/>
          <w:sz w:val="22"/>
          <w:szCs w:val="22"/>
        </w:rPr>
        <w:t>affirmed accreditation on July 30, 2021.</w:t>
      </w:r>
      <w:r w:rsidRPr="009775D7">
        <w:rPr>
          <w:rFonts w:asciiTheme="minorHAnsi" w:hAnsiTheme="minorHAnsi" w:cstheme="minorHAnsi"/>
          <w:sz w:val="22"/>
          <w:szCs w:val="22"/>
        </w:rPr>
        <w:t xml:space="preserve"> Site visit </w:t>
      </w:r>
      <w:proofErr w:type="gramStart"/>
      <w:r w:rsidRPr="009775D7">
        <w:rPr>
          <w:rFonts w:asciiTheme="minorHAnsi" w:hAnsiTheme="minorHAnsi" w:cstheme="minorHAnsi"/>
          <w:sz w:val="22"/>
          <w:szCs w:val="22"/>
        </w:rPr>
        <w:t>held</w:t>
      </w:r>
      <w:proofErr w:type="gramEnd"/>
      <w:r w:rsidRPr="009775D7">
        <w:rPr>
          <w:rFonts w:asciiTheme="minorHAnsi" w:hAnsiTheme="minorHAnsi" w:cstheme="minorHAnsi"/>
          <w:sz w:val="22"/>
          <w:szCs w:val="22"/>
        </w:rPr>
        <w:t xml:space="preserve"> March 22-24, 2021. Site Review letter received April 8, 2021. </w:t>
      </w:r>
    </w:p>
    <w:p w14:paraId="6F585F19" w14:textId="73CFF7FA" w:rsidR="000A1734" w:rsidRDefault="000A1734" w:rsidP="000A1734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4517E">
        <w:rPr>
          <w:rFonts w:asciiTheme="minorHAnsi" w:hAnsiTheme="minorHAnsi" w:cstheme="minorHAnsi"/>
          <w:color w:val="CD2026"/>
          <w:szCs w:val="22"/>
        </w:rPr>
        <w:t>Commission on Accreditation of Athletic Training Education</w:t>
      </w:r>
      <w:r w:rsidRPr="0084517E">
        <w:rPr>
          <w:rFonts w:asciiTheme="minorHAnsi" w:hAnsiTheme="minorHAnsi" w:cstheme="minorHAnsi"/>
          <w:b/>
          <w:bCs/>
          <w:color w:val="CD2026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Cs w:val="22"/>
        </w:rPr>
        <w:t>(CAATE</w:t>
      </w:r>
      <w:r w:rsidRPr="00A76BB5">
        <w:rPr>
          <w:rFonts w:asciiTheme="minorHAnsi" w:hAnsiTheme="minorHAnsi" w:cstheme="minorHAnsi"/>
          <w:szCs w:val="22"/>
        </w:rPr>
        <w:t>) voted</w:t>
      </w:r>
      <w:r>
        <w:rPr>
          <w:rFonts w:asciiTheme="minorHAnsi" w:hAnsiTheme="minorHAnsi" w:cstheme="minorHAnsi"/>
          <w:szCs w:val="22"/>
        </w:rPr>
        <w:t xml:space="preserve"> to grant 10 years of continuing accreditation to the Professional Athletics Training Program through 2032-2033. Next self-study due July 1, 2032. </w:t>
      </w:r>
      <w:r w:rsidRPr="00A76BB5">
        <w:rPr>
          <w:rFonts w:asciiTheme="minorHAnsi" w:hAnsiTheme="minorHAnsi" w:cstheme="minorHAnsi"/>
          <w:szCs w:val="22"/>
        </w:rPr>
        <w:t xml:space="preserve"> </w:t>
      </w:r>
      <w:r w:rsidR="00276990">
        <w:rPr>
          <w:rFonts w:asciiTheme="minorHAnsi" w:hAnsiTheme="minorHAnsi" w:cstheme="minorHAnsi"/>
          <w:szCs w:val="22"/>
        </w:rPr>
        <w:t>CAATE Substantive change filed, Fall 2022.</w:t>
      </w:r>
      <w:r w:rsidR="00C42724">
        <w:rPr>
          <w:rFonts w:asciiTheme="minorHAnsi" w:hAnsiTheme="minorHAnsi" w:cstheme="minorHAnsi"/>
          <w:szCs w:val="22"/>
        </w:rPr>
        <w:t xml:space="preserve"> CAATE approved degree change, July 12, 2023. Self-study due July 1, 2032. Annual report due annually, October 1st. </w:t>
      </w:r>
    </w:p>
    <w:p w14:paraId="020EA978" w14:textId="77777777" w:rsid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of School Psychologist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(NASP) Successfully obtained accreditation until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E7FE79" w14:textId="068BD4C2" w:rsidR="00CB72A1" w:rsidRP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72A1">
        <w:rPr>
          <w:rFonts w:asciiTheme="minorHAnsi" w:hAnsiTheme="minorHAnsi" w:cstheme="minorHAnsi"/>
          <w:color w:val="CD2026"/>
          <w:sz w:val="22"/>
          <w:szCs w:val="22"/>
        </w:rPr>
        <w:t>COSMA</w:t>
      </w:r>
      <w:r w:rsidRPr="00CB72A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sz w:val="22"/>
          <w:szCs w:val="22"/>
        </w:rPr>
        <w:t>affirmed accreditation for Bachelor of Arts in Sport Management and Master of Education in Sport Management</w:t>
      </w:r>
      <w:r>
        <w:rPr>
          <w:rFonts w:asciiTheme="minorHAnsi" w:hAnsiTheme="minorHAnsi" w:cstheme="minorHAnsi"/>
          <w:sz w:val="22"/>
          <w:szCs w:val="22"/>
        </w:rPr>
        <w:t xml:space="preserve"> 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February 11, 2020. </w:t>
      </w:r>
      <w:r w:rsidRPr="00CB72A1">
        <w:rPr>
          <w:rFonts w:asciiTheme="minorHAnsi" w:hAnsiTheme="minorHAnsi" w:cstheme="minorHAnsi"/>
          <w:b/>
          <w:bCs/>
          <w:sz w:val="22"/>
          <w:szCs w:val="22"/>
        </w:rPr>
        <w:t>Accreditation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b/>
          <w:sz w:val="22"/>
          <w:szCs w:val="22"/>
        </w:rPr>
        <w:t xml:space="preserve">with Observations was awarded </w:t>
      </w:r>
      <w:r>
        <w:rPr>
          <w:rFonts w:asciiTheme="minorHAnsi" w:hAnsiTheme="minorHAnsi" w:cstheme="minorHAnsi"/>
          <w:b/>
          <w:sz w:val="22"/>
          <w:szCs w:val="22"/>
        </w:rPr>
        <w:t>for seven years, until February 2027</w:t>
      </w:r>
      <w:r w:rsidRPr="00CB72A1">
        <w:rPr>
          <w:rFonts w:asciiTheme="minorHAnsi" w:hAnsiTheme="minorHAnsi" w:cstheme="minorHAnsi"/>
          <w:b/>
          <w:sz w:val="22"/>
          <w:szCs w:val="22"/>
        </w:rPr>
        <w:t>.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9F67D5" w14:textId="01B8E598" w:rsidR="00EA10A2" w:rsidRPr="00CF4B32" w:rsidRDefault="00EA10A2" w:rsidP="00785C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4" w:name="_Hlk165450800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Council on Academic Accreditation Audiology/Speech-Language Pathology </w:t>
      </w:r>
      <w:r w:rsidR="0065216D" w:rsidRPr="0065216D">
        <w:rPr>
          <w:rFonts w:asciiTheme="minorHAnsi" w:hAnsiTheme="minorHAnsi" w:cstheme="minorHAnsi"/>
          <w:color w:val="CD2026"/>
          <w:sz w:val="22"/>
          <w:szCs w:val="22"/>
        </w:rPr>
        <w:t>of the American Speech-Language-Hearing Association (ASHA)</w:t>
      </w:r>
      <w:r w:rsidR="0065216D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affirmed accreditation on December 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, 2018.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4B32" w:rsidRPr="00CF4B32">
        <w:rPr>
          <w:rFonts w:asciiTheme="minorHAnsi" w:hAnsiTheme="minorHAnsi" w:cstheme="minorHAnsi"/>
          <w:sz w:val="22"/>
          <w:szCs w:val="22"/>
        </w:rPr>
        <w:t>Next review for Speech-Language Pathology and Audiology is in 202</w:t>
      </w:r>
      <w:r w:rsidR="006C5FC1">
        <w:rPr>
          <w:rFonts w:asciiTheme="minorHAnsi" w:hAnsiTheme="minorHAnsi" w:cstheme="minorHAnsi"/>
          <w:sz w:val="22"/>
          <w:szCs w:val="22"/>
        </w:rPr>
        <w:t>4</w:t>
      </w:r>
      <w:r w:rsidR="0065216D">
        <w:rPr>
          <w:rFonts w:asciiTheme="minorHAnsi" w:hAnsiTheme="minorHAnsi" w:cstheme="minorHAnsi"/>
          <w:sz w:val="22"/>
          <w:szCs w:val="22"/>
        </w:rPr>
        <w:t>_2025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.  </w:t>
      </w:r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Doctorate in Audiology (</w:t>
      </w:r>
      <w:proofErr w:type="spellStart"/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AuD</w:t>
      </w:r>
      <w:proofErr w:type="spellEnd"/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40827">
        <w:rPr>
          <w:rFonts w:asciiTheme="minorHAnsi" w:hAnsiTheme="minorHAnsi" w:cstheme="minorHAnsi"/>
          <w:sz w:val="22"/>
          <w:szCs w:val="22"/>
        </w:rPr>
        <w:t xml:space="preserve"> accredited 8/2004-present, current cycle 2017-2025, next review 2024</w:t>
      </w:r>
      <w:r w:rsidR="0065216D">
        <w:rPr>
          <w:rFonts w:asciiTheme="minorHAnsi" w:hAnsiTheme="minorHAnsi" w:cstheme="minorHAnsi"/>
          <w:sz w:val="22"/>
          <w:szCs w:val="22"/>
        </w:rPr>
        <w:t>_2025</w:t>
      </w:r>
      <w:r w:rsidR="00340827">
        <w:rPr>
          <w:rFonts w:asciiTheme="minorHAnsi" w:hAnsiTheme="minorHAnsi" w:cstheme="minorHAnsi"/>
          <w:sz w:val="22"/>
          <w:szCs w:val="22"/>
        </w:rPr>
        <w:t xml:space="preserve">. </w:t>
      </w:r>
      <w:r w:rsidR="0065216D" w:rsidRPr="0065216D">
        <w:rPr>
          <w:rFonts w:asciiTheme="minorHAnsi" w:hAnsiTheme="minorHAnsi" w:cstheme="minorHAnsi"/>
          <w:b/>
          <w:bCs/>
          <w:sz w:val="22"/>
          <w:szCs w:val="22"/>
        </w:rPr>
        <w:t xml:space="preserve">Master of Arts in Communication Sciences and Disorders (MA-CSD; Speech-Language Pathology) </w:t>
      </w:r>
      <w:r w:rsidR="00340827">
        <w:rPr>
          <w:rFonts w:asciiTheme="minorHAnsi" w:hAnsiTheme="minorHAnsi" w:cstheme="minorHAnsi"/>
          <w:sz w:val="22"/>
          <w:szCs w:val="22"/>
        </w:rPr>
        <w:t xml:space="preserve">accredited 9/1977-present, current cycle 2017-2025, next review 2024. </w:t>
      </w:r>
      <w:r w:rsidR="00340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216D" w:rsidRPr="0065216D">
        <w:rPr>
          <w:rFonts w:asciiTheme="minorHAnsi" w:hAnsiTheme="minorHAnsi" w:cstheme="minorHAnsi"/>
          <w:sz w:val="22"/>
          <w:szCs w:val="22"/>
        </w:rPr>
        <w:t>Only accredits the clinical graduate programs.</w:t>
      </w:r>
      <w:r w:rsidR="00652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65216D">
        <w:rPr>
          <w:rFonts w:asciiTheme="minorHAnsi" w:hAnsiTheme="minorHAnsi" w:cstheme="minorHAnsi"/>
          <w:sz w:val="22"/>
          <w:szCs w:val="22"/>
        </w:rPr>
        <w:t>Master’s</w:t>
      </w:r>
      <w:proofErr w:type="gramEnd"/>
      <w:r w:rsidR="0065216D">
        <w:rPr>
          <w:rFonts w:asciiTheme="minorHAnsi" w:hAnsiTheme="minorHAnsi" w:cstheme="minorHAnsi"/>
          <w:sz w:val="22"/>
          <w:szCs w:val="22"/>
        </w:rPr>
        <w:t xml:space="preserve"> in Audiology (MS) not accredited.</w:t>
      </w:r>
    </w:p>
    <w:p w14:paraId="48B02F04" w14:textId="737EA506" w:rsidR="00BF3340" w:rsidRPr="00805233" w:rsidRDefault="00BF3340" w:rsidP="00BF33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5" w:name="_Hlk139544396"/>
      <w:bookmarkStart w:id="6" w:name="_Hlk139542380"/>
      <w:bookmarkEnd w:id="4"/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Dental Hygiene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 xml:space="preserve">accreditation status of “approval without reporting requirements” 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August </w:t>
      </w:r>
      <w:r w:rsidR="009C3629">
        <w:rPr>
          <w:rFonts w:asciiTheme="minorHAnsi" w:hAnsiTheme="minorHAnsi" w:cstheme="minorHAnsi"/>
          <w:b/>
          <w:sz w:val="22"/>
          <w:szCs w:val="22"/>
        </w:rPr>
        <w:t>10, 2023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  <w:r w:rsidR="00430656">
        <w:rPr>
          <w:rFonts w:asciiTheme="minorHAnsi" w:hAnsiTheme="minorHAnsi" w:cstheme="minorHAnsi"/>
          <w:sz w:val="22"/>
          <w:szCs w:val="22"/>
        </w:rPr>
        <w:t xml:space="preserve"> Submitted major program change April 2023 and CODA granted </w:t>
      </w:r>
      <w:r w:rsidR="00430656" w:rsidRPr="00430656">
        <w:rPr>
          <w:rFonts w:asciiTheme="minorHAnsi" w:hAnsiTheme="minorHAnsi" w:cstheme="minorHAnsi"/>
          <w:sz w:val="22"/>
          <w:szCs w:val="22"/>
        </w:rPr>
        <w:t>dental hygiene program the accreditation status of “approval without reporting requirements”</w:t>
      </w:r>
      <w:r w:rsidR="00430656">
        <w:rPr>
          <w:rFonts w:asciiTheme="minorHAnsi" w:hAnsiTheme="minorHAnsi" w:cstheme="minorHAnsi"/>
          <w:sz w:val="22"/>
          <w:szCs w:val="22"/>
        </w:rPr>
        <w:t xml:space="preserve"> for these changes</w:t>
      </w:r>
      <w:r w:rsidR="009C3629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5"/>
    <w:p w14:paraId="7A5B7F8E" w14:textId="77777777" w:rsidR="00892170" w:rsidRPr="00805233" w:rsidRDefault="00892170" w:rsidP="008921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</w:t>
      </w:r>
      <w:r w:rsidRPr="00A9509F">
        <w:rPr>
          <w:rFonts w:asciiTheme="minorHAnsi" w:hAnsiTheme="minorHAnsi" w:cstheme="minorHAnsi"/>
          <w:sz w:val="22"/>
          <w:szCs w:val="22"/>
        </w:rPr>
        <w:t xml:space="preserve">Advanced Education in General Dentistry Program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>accreditation status of “approval without reporting requirements” on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May 10, 2021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4BC7663C" w14:textId="3DEB98AD" w:rsidR="00702A35" w:rsidRPr="00A76BB5" w:rsidRDefault="00702A35" w:rsidP="00702A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Accrediting Agency for Clinical Laboratory Sciences </w:t>
      </w:r>
      <w:r w:rsidR="00EC2B44" w:rsidRPr="00EC2B44">
        <w:rPr>
          <w:rFonts w:asciiTheme="minorHAnsi" w:hAnsiTheme="minorHAnsi" w:cstheme="minorHAnsi"/>
          <w:sz w:val="22"/>
          <w:szCs w:val="22"/>
        </w:rPr>
        <w:t xml:space="preserve">for Medical Lab Sciences. </w:t>
      </w:r>
      <w:r w:rsidRPr="00A76BB5">
        <w:rPr>
          <w:rFonts w:asciiTheme="minorHAnsi" w:hAnsiTheme="minorHAnsi" w:cstheme="minorHAnsi"/>
          <w:sz w:val="22"/>
          <w:szCs w:val="22"/>
        </w:rPr>
        <w:t xml:space="preserve">Summary of Action received </w:t>
      </w:r>
      <w:r>
        <w:rPr>
          <w:rFonts w:asciiTheme="minorHAnsi" w:hAnsiTheme="minorHAnsi" w:cstheme="minorHAnsi"/>
          <w:sz w:val="22"/>
          <w:szCs w:val="22"/>
        </w:rPr>
        <w:t>May 24, 2021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Recommended continuing accreditation for 10 years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until April 30, 2031. </w:t>
      </w:r>
      <w:proofErr w:type="spellStart"/>
      <w:r>
        <w:rPr>
          <w:rFonts w:asciiTheme="minorHAnsi" w:hAnsiTheme="minorHAnsi" w:cstheme="minorHAnsi"/>
          <w:sz w:val="22"/>
          <w:szCs w:val="22"/>
        </w:rPr>
        <w:t>Self Study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submission, April 1, 2030, site visit fall 2030, and </w:t>
      </w:r>
      <w:r w:rsidRPr="00702A35">
        <w:rPr>
          <w:rFonts w:asciiTheme="minorHAnsi" w:hAnsiTheme="minorHAnsi" w:cstheme="minorHAnsi"/>
          <w:sz w:val="22"/>
          <w:szCs w:val="22"/>
          <w:u w:val="single"/>
        </w:rPr>
        <w:t>Year 5 Interim Report due April 1, 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36EF52" w14:textId="78114D2C" w:rsidR="00973864" w:rsidRPr="00973864" w:rsidRDefault="00973864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Kansas State Board of Nursing </w:t>
      </w:r>
      <w:r w:rsidR="00CF4B32" w:rsidRPr="00CF4B32">
        <w:rPr>
          <w:rFonts w:asciiTheme="minorHAnsi" w:hAnsiTheme="minorHAnsi" w:cstheme="minorHAnsi"/>
          <w:bCs/>
          <w:sz w:val="22"/>
          <w:szCs w:val="22"/>
        </w:rPr>
        <w:t>granted nursing accreditation on December 13, 2022. Accreditation is for 10 years</w:t>
      </w:r>
      <w:r w:rsidR="00CF4B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FD54FBE" w14:textId="1026EBF6" w:rsidR="00702A35" w:rsidRDefault="00702A3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in May 2023 granted accreditation to the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baccalaureate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master’s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for 10 years, extending to June 30, 2033. Accreditation action was effective October 12, 2022. Next site visit Fall 2032.</w:t>
      </w:r>
    </w:p>
    <w:p w14:paraId="31FF8B8F" w14:textId="040C977C" w:rsidR="00973864" w:rsidRPr="00973864" w:rsidRDefault="00973864" w:rsidP="00EC2B44">
      <w:pPr>
        <w:pStyle w:val="ListParagraph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Pr="00973864">
        <w:rPr>
          <w:rFonts w:asciiTheme="minorHAnsi" w:hAnsiTheme="minorHAnsi" w:cstheme="minorHAnsi"/>
          <w:bCs/>
          <w:sz w:val="22"/>
          <w:szCs w:val="22"/>
        </w:rPr>
        <w:t>in May 2023 granted accreditation to the Doctor of Nursing Practice (DNP)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3864">
        <w:rPr>
          <w:rFonts w:asciiTheme="minorHAnsi" w:hAnsiTheme="minorHAnsi" w:cstheme="minorHAnsi"/>
          <w:bCs/>
          <w:sz w:val="22"/>
          <w:szCs w:val="22"/>
        </w:rPr>
        <w:t>for 10 years, extending to June 30, 2033. Accreditation action was effective October 12, 2022. Next site visit Fall 2032.</w:t>
      </w:r>
    </w:p>
    <w:p w14:paraId="27E37C72" w14:textId="52E7D019" w:rsidR="00624BBB" w:rsidRPr="00624BBB" w:rsidRDefault="00624BBB" w:rsidP="00624BB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624BBB">
        <w:rPr>
          <w:rFonts w:asciiTheme="minorHAnsi" w:hAnsiTheme="minorHAnsi" w:cstheme="minorHAnsi"/>
          <w:bCs/>
          <w:color w:val="FF0000"/>
          <w:sz w:val="22"/>
          <w:szCs w:val="22"/>
        </w:rPr>
        <w:t>Commission on Accreditation in Physical Therapy Education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reaffirmed accreditation effective April 25, 2023. </w:t>
      </w:r>
      <w:r w:rsidRPr="00624BBB">
        <w:rPr>
          <w:rFonts w:asciiTheme="minorHAnsi" w:hAnsiTheme="minorHAnsi" w:cstheme="minorHAnsi"/>
          <w:bCs/>
          <w:sz w:val="22"/>
          <w:szCs w:val="22"/>
        </w:rPr>
        <w:t xml:space="preserve">The Commission's decision to reaffirm accreditation status [for a period of ten years] is based on the program's compliance with </w:t>
      </w:r>
      <w:proofErr w:type="gramStart"/>
      <w:r w:rsidRPr="00624BBB">
        <w:rPr>
          <w:rFonts w:asciiTheme="minorHAnsi" w:hAnsiTheme="minorHAnsi" w:cstheme="minorHAnsi"/>
          <w:bCs/>
          <w:sz w:val="22"/>
          <w:szCs w:val="22"/>
        </w:rPr>
        <w:t>all of</w:t>
      </w:r>
      <w:proofErr w:type="gramEnd"/>
      <w:r w:rsidRPr="00624BBB">
        <w:rPr>
          <w:rFonts w:asciiTheme="minorHAnsi" w:hAnsiTheme="minorHAnsi" w:cstheme="minorHAnsi"/>
          <w:bCs/>
          <w:sz w:val="22"/>
          <w:szCs w:val="22"/>
        </w:rPr>
        <w:t xml:space="preserve"> the Standards and Required Elements.</w:t>
      </w:r>
      <w:r>
        <w:rPr>
          <w:rFonts w:asciiTheme="minorHAnsi" w:hAnsiTheme="minorHAnsi" w:cstheme="minorHAnsi"/>
          <w:bCs/>
          <w:sz w:val="22"/>
          <w:szCs w:val="22"/>
        </w:rPr>
        <w:t xml:space="preserve"> Next </w:t>
      </w:r>
      <w:r w:rsidRPr="00624BBB">
        <w:rPr>
          <w:rFonts w:asciiTheme="minorHAnsi" w:hAnsiTheme="minorHAnsi" w:cstheme="minorHAnsi"/>
          <w:bCs/>
          <w:sz w:val="22"/>
          <w:szCs w:val="22"/>
        </w:rPr>
        <w:t>Self-study Report and On-site Review in Spring 2032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063E67" w:rsidRPr="00063E67">
        <w:rPr>
          <w:rFonts w:asciiTheme="minorHAnsi" w:hAnsiTheme="minorHAnsi" w:cstheme="minorHAnsi"/>
          <w:bCs/>
          <w:sz w:val="22"/>
          <w:szCs w:val="22"/>
        </w:rPr>
        <w:t>Application for Substantive Change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 submitted to increase class size; Approved October 2023 and will be implemented June 2024 with full capacity of total enrollment 60 students in full implementation.</w:t>
      </w:r>
      <w:r w:rsidR="00E320AB">
        <w:rPr>
          <w:rFonts w:asciiTheme="minorHAnsi" w:hAnsiTheme="minorHAnsi" w:cstheme="minorHAnsi"/>
          <w:bCs/>
          <w:sz w:val="22"/>
          <w:szCs w:val="22"/>
        </w:rPr>
        <w:t xml:space="preserve"> Oct. 2024 continue accreditation with compliance report due Feb 1, 2025, and August 1, </w:t>
      </w:r>
      <w:proofErr w:type="gramStart"/>
      <w:r w:rsidR="00E320AB">
        <w:rPr>
          <w:rFonts w:asciiTheme="minorHAnsi" w:hAnsiTheme="minorHAnsi" w:cstheme="minorHAnsi"/>
          <w:bCs/>
          <w:sz w:val="22"/>
          <w:szCs w:val="22"/>
        </w:rPr>
        <w:t>2025</w:t>
      </w:r>
      <w:proofErr w:type="gramEnd"/>
      <w:r w:rsidR="00E320AB">
        <w:rPr>
          <w:rFonts w:asciiTheme="minorHAnsi" w:hAnsiTheme="minorHAnsi" w:cstheme="minorHAnsi"/>
          <w:bCs/>
          <w:sz w:val="22"/>
          <w:szCs w:val="22"/>
        </w:rPr>
        <w:t xml:space="preserve"> to address compliance with 4A, 6E, and 8C. </w:t>
      </w:r>
    </w:p>
    <w:p w14:paraId="28E6CD68" w14:textId="094D31E5" w:rsidR="00A846A5" w:rsidRPr="002E5401" w:rsidRDefault="00A846A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2E5401">
        <w:rPr>
          <w:rFonts w:asciiTheme="minorHAnsi" w:hAnsiTheme="minorHAnsi" w:cstheme="minorHAnsi"/>
          <w:bCs/>
          <w:color w:val="CD2026"/>
          <w:sz w:val="22"/>
          <w:szCs w:val="22"/>
        </w:rPr>
        <w:lastRenderedPageBreak/>
        <w:t>Accreditation Review Commission on Education for the Physician Assistant ARC-PA</w:t>
      </w:r>
      <w:r w:rsidRPr="002E5401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2E5401">
        <w:rPr>
          <w:rFonts w:asciiTheme="minorHAnsi" w:hAnsiTheme="minorHAnsi" w:cstheme="minorHAnsi"/>
          <w:bCs/>
          <w:sz w:val="22"/>
          <w:szCs w:val="22"/>
        </w:rPr>
        <w:t xml:space="preserve">extended Accreditation –Probationary status on March 24, 2021. A response to the review was due no later than June 16, 2021. The Response was reviewed at the September meeting. A focused site </w:t>
      </w:r>
      <w:proofErr w:type="gramStart"/>
      <w:r w:rsidRPr="002E5401">
        <w:rPr>
          <w:rFonts w:asciiTheme="minorHAnsi" w:hAnsiTheme="minorHAnsi" w:cstheme="minorHAnsi"/>
          <w:bCs/>
          <w:sz w:val="22"/>
          <w:szCs w:val="22"/>
        </w:rPr>
        <w:t>visit</w:t>
      </w:r>
      <w:proofErr w:type="gramEnd"/>
      <w:r w:rsidRPr="002E5401">
        <w:rPr>
          <w:rFonts w:asciiTheme="minorHAnsi" w:hAnsiTheme="minorHAnsi" w:cstheme="minorHAnsi"/>
          <w:bCs/>
          <w:sz w:val="22"/>
          <w:szCs w:val="22"/>
        </w:rPr>
        <w:t xml:space="preserve"> hosted March 2021. ARC-PA did not accept report and requested a follow up report by </w:t>
      </w:r>
      <w:r w:rsidRPr="00CF4B32">
        <w:rPr>
          <w:rFonts w:asciiTheme="minorHAnsi" w:hAnsiTheme="minorHAnsi" w:cstheme="minorHAnsi"/>
          <w:sz w:val="22"/>
          <w:szCs w:val="22"/>
        </w:rPr>
        <w:t>June 16, 2021</w:t>
      </w:r>
      <w:r w:rsidRPr="002E5401">
        <w:rPr>
          <w:rFonts w:asciiTheme="minorHAnsi" w:hAnsiTheme="minorHAnsi" w:cstheme="minorHAnsi"/>
          <w:bCs/>
          <w:sz w:val="22"/>
          <w:szCs w:val="22"/>
        </w:rPr>
        <w:t>. Probation extended. Probation removed and full accreditation affirmed March 22, 2022. March 10, 2023, Name change approved - Change Name of the Department of Physician Assistant to the Department of Physician Associate; Change Name of Master of Physician Assistant, with the major of Physician Assistant, to Master of Physician Associate, with the major of Physician Associate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name change effective July 28, 2023. </w:t>
      </w:r>
    </w:p>
    <w:p w14:paraId="31BA113F" w14:textId="20B6F5E4" w:rsidR="00EC2B44" w:rsidRPr="00C54047" w:rsidRDefault="00EC2B44" w:rsidP="00EC2B4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Hlk112240901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American Chemical Society </w:t>
      </w:r>
      <w:r w:rsidRPr="00CF4B32">
        <w:rPr>
          <w:rFonts w:asciiTheme="minorHAnsi" w:hAnsiTheme="minorHAnsi" w:cstheme="minorHAnsi"/>
          <w:sz w:val="22"/>
          <w:szCs w:val="22"/>
        </w:rPr>
        <w:t>affirmed that the program meets all ACS approval requirements and affirmed accreditation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 until June 30, 2027.</w:t>
      </w:r>
    </w:p>
    <w:p w14:paraId="1C7B8239" w14:textId="6BCAE238" w:rsidR="00CF4B32" w:rsidRDefault="00A76BB5" w:rsidP="00CF4B3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8" w:name="_Hlk165451600"/>
      <w:bookmarkEnd w:id="7"/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Human Factors and Ergonomics Commission</w:t>
      </w:r>
      <w:r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CF4B32">
        <w:rPr>
          <w:rFonts w:asciiTheme="minorHAnsi" w:hAnsiTheme="minorHAnsi" w:cstheme="minorHAnsi"/>
          <w:bCs/>
          <w:sz w:val="22"/>
          <w:szCs w:val="22"/>
        </w:rPr>
        <w:t xml:space="preserve">issued 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 xml:space="preserve">Summary of Action </w:t>
      </w:r>
      <w:r w:rsidR="004215B0">
        <w:rPr>
          <w:rFonts w:asciiTheme="minorHAnsi" w:hAnsiTheme="minorHAnsi" w:cstheme="minorHAnsi"/>
          <w:bCs/>
          <w:sz w:val="22"/>
          <w:szCs w:val="22"/>
        </w:rPr>
        <w:t>April 2019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>. Accreditation is continued</w:t>
      </w:r>
      <w:r w:rsidR="004B2139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4B2139" w:rsidRPr="004B2139">
        <w:rPr>
          <w:rFonts w:asciiTheme="minorHAnsi" w:hAnsiTheme="minorHAnsi" w:cstheme="minorHAnsi"/>
          <w:bCs/>
          <w:sz w:val="22"/>
          <w:szCs w:val="22"/>
        </w:rPr>
        <w:t xml:space="preserve">Doctor of Philosophy (PhD) in psychology offers three programs of study: human factors psychology. </w:t>
      </w:r>
      <w:r w:rsidR="00BE3539" w:rsidRPr="00A76BB5">
        <w:rPr>
          <w:rFonts w:asciiTheme="minorHAnsi" w:hAnsiTheme="minorHAnsi" w:cstheme="minorHAnsi"/>
          <w:sz w:val="22"/>
          <w:szCs w:val="22"/>
        </w:rPr>
        <w:t xml:space="preserve"> Self-study Report and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BE3539" w:rsidRPr="00A76BB5">
        <w:rPr>
          <w:rFonts w:asciiTheme="minorHAnsi" w:hAnsiTheme="minorHAnsi" w:cstheme="minorHAnsi"/>
          <w:sz w:val="22"/>
          <w:szCs w:val="22"/>
        </w:rPr>
        <w:t>On-site Visit in Spring 202</w:t>
      </w:r>
      <w:r w:rsidR="004215B0">
        <w:rPr>
          <w:rFonts w:asciiTheme="minorHAnsi" w:hAnsiTheme="minorHAnsi" w:cstheme="minorHAnsi"/>
          <w:sz w:val="22"/>
          <w:szCs w:val="22"/>
        </w:rPr>
        <w:t>5</w:t>
      </w:r>
      <w:r w:rsidRPr="00A76BB5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00A94DA2" w14:textId="77777777" w:rsidR="00555079" w:rsidRPr="00555079" w:rsidRDefault="00CF4B32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CD2026"/>
          <w:sz w:val="22"/>
          <w:szCs w:val="22"/>
        </w:rPr>
        <w:t>Network of Schools of Public Policy, affairs, and Administration (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NASPAA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) 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Accredit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ation </w:t>
      </w:r>
      <w:r w:rsidRPr="00CF4B32">
        <w:rPr>
          <w:rFonts w:asciiTheme="minorHAnsi" w:hAnsiTheme="minorHAnsi" w:cstheme="minorHAnsi"/>
          <w:bCs/>
          <w:sz w:val="22"/>
          <w:szCs w:val="22"/>
        </w:rPr>
        <w:t>for Master of Public Administration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reviewed in 2022-23 and accredited through </w:t>
      </w:r>
      <w:r w:rsidRPr="004215B0">
        <w:rPr>
          <w:rFonts w:asciiTheme="minorHAnsi" w:hAnsiTheme="minorHAnsi" w:cstheme="minorHAnsi"/>
          <w:b/>
          <w:sz w:val="22"/>
          <w:szCs w:val="22"/>
        </w:rPr>
        <w:t>August 3, 2030</w:t>
      </w:r>
      <w:r>
        <w:rPr>
          <w:rFonts w:asciiTheme="minorHAnsi" w:hAnsiTheme="minorHAnsi" w:cstheme="minorHAnsi"/>
          <w:bCs/>
          <w:sz w:val="22"/>
          <w:szCs w:val="22"/>
        </w:rPr>
        <w:t xml:space="preserve">. Annual accreditation maintenance report due November 1, 2023. </w:t>
      </w:r>
    </w:p>
    <w:p w14:paraId="4BC796D3" w14:textId="14FB3B1B" w:rsidR="00555079" w:rsidRDefault="00EC2B44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9" w:name="_Hlk165452150"/>
      <w:r w:rsidRPr="00555079">
        <w:rPr>
          <w:rFonts w:asciiTheme="minorHAnsi" w:hAnsiTheme="minorHAnsi" w:cstheme="minorHAnsi"/>
          <w:bCs/>
          <w:color w:val="CD2026"/>
          <w:sz w:val="22"/>
          <w:szCs w:val="22"/>
        </w:rPr>
        <w:t>American Psychological Association</w:t>
      </w:r>
      <w:r w:rsidRPr="00555079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555079">
        <w:rPr>
          <w:rFonts w:asciiTheme="minorHAnsi" w:hAnsiTheme="minorHAnsi" w:cstheme="minorHAnsi"/>
          <w:b/>
          <w:sz w:val="22"/>
          <w:szCs w:val="22"/>
        </w:rPr>
        <w:t xml:space="preserve">affirmed accreditation on May 6, </w:t>
      </w:r>
      <w:proofErr w:type="gramStart"/>
      <w:r w:rsidRPr="00555079">
        <w:rPr>
          <w:rFonts w:asciiTheme="minorHAnsi" w:hAnsiTheme="minorHAnsi" w:cstheme="minorHAnsi"/>
          <w:b/>
          <w:sz w:val="22"/>
          <w:szCs w:val="22"/>
        </w:rPr>
        <w:t>2019</w:t>
      </w:r>
      <w:proofErr w:type="gramEnd"/>
      <w:r w:rsidR="00DD3659">
        <w:rPr>
          <w:rFonts w:asciiTheme="minorHAnsi" w:hAnsiTheme="minorHAnsi" w:cstheme="minorHAnsi"/>
          <w:sz w:val="22"/>
          <w:szCs w:val="22"/>
        </w:rPr>
        <w:t xml:space="preserve">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 xml:space="preserve">for Doctor of Philosophy (PhD) in </w:t>
      </w:r>
      <w:r w:rsidR="00DD3659">
        <w:rPr>
          <w:rFonts w:asciiTheme="minorHAnsi" w:hAnsiTheme="minorHAnsi" w:cstheme="minorHAnsi"/>
          <w:bCs/>
          <w:sz w:val="22"/>
          <w:szCs w:val="22"/>
        </w:rPr>
        <w:t xml:space="preserve">clinical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>psychology</w:t>
      </w:r>
      <w:r w:rsidR="00DD3659">
        <w:rPr>
          <w:rFonts w:asciiTheme="minorHAnsi" w:hAnsiTheme="minorHAnsi" w:cstheme="minorHAnsi"/>
          <w:bCs/>
          <w:sz w:val="22"/>
          <w:szCs w:val="22"/>
        </w:rPr>
        <w:t>. Next s</w:t>
      </w:r>
      <w:r w:rsidRPr="00555079">
        <w:rPr>
          <w:rFonts w:asciiTheme="minorHAnsi" w:hAnsiTheme="minorHAnsi" w:cstheme="minorHAnsi"/>
          <w:sz w:val="22"/>
          <w:szCs w:val="22"/>
        </w:rPr>
        <w:t xml:space="preserve">elf-study due January 1, </w:t>
      </w:r>
      <w:proofErr w:type="gramStart"/>
      <w:r w:rsidRPr="00555079"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Pr="00555079">
        <w:rPr>
          <w:rFonts w:asciiTheme="minorHAnsi" w:hAnsiTheme="minorHAnsi" w:cstheme="minorHAnsi"/>
          <w:sz w:val="22"/>
          <w:szCs w:val="22"/>
        </w:rPr>
        <w:t xml:space="preserve"> with planned site visit January-June 2024.</w:t>
      </w:r>
    </w:p>
    <w:bookmarkEnd w:id="9"/>
    <w:p w14:paraId="6DA8ACB6" w14:textId="27441A8F" w:rsidR="001F69BE" w:rsidRDefault="00F512CD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55079">
        <w:rPr>
          <w:rFonts w:asciiTheme="minorHAnsi" w:hAnsiTheme="minorHAnsi" w:cstheme="minorHAnsi"/>
          <w:color w:val="CD2026"/>
          <w:sz w:val="22"/>
          <w:szCs w:val="22"/>
        </w:rPr>
        <w:t>Council on Social Work Education</w:t>
      </w:r>
      <w:r w:rsidR="00643479" w:rsidRPr="00555079">
        <w:rPr>
          <w:rFonts w:asciiTheme="minorHAnsi" w:hAnsiTheme="minorHAnsi" w:cstheme="minorHAnsi"/>
          <w:color w:val="CD2026"/>
          <w:sz w:val="22"/>
          <w:szCs w:val="22"/>
        </w:rPr>
        <w:t xml:space="preserve"> (CSWE) 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reaffirmed accreditation on </w:t>
      </w:r>
      <w:r w:rsidR="00C84668" w:rsidRPr="00555079">
        <w:rPr>
          <w:rFonts w:asciiTheme="minorHAnsi" w:hAnsiTheme="minorHAnsi" w:cstheme="minorHAnsi"/>
          <w:sz w:val="22"/>
          <w:szCs w:val="22"/>
        </w:rPr>
        <w:t>August 10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C1414" w:rsidRPr="00555079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="00555079" w:rsidRPr="00555079">
        <w:rPr>
          <w:rFonts w:asciiTheme="minorHAnsi" w:hAnsiTheme="minorHAnsi" w:cstheme="minorHAnsi"/>
          <w:sz w:val="22"/>
          <w:szCs w:val="22"/>
        </w:rPr>
        <w:t xml:space="preserve"> with progress report requirement Accredited 8 years,</w:t>
      </w:r>
      <w:r w:rsidR="00555079">
        <w:rPr>
          <w:rFonts w:asciiTheme="minorHAnsi" w:hAnsiTheme="minorHAnsi" w:cstheme="minorHAnsi"/>
          <w:b/>
          <w:bCs/>
          <w:sz w:val="22"/>
          <w:szCs w:val="22"/>
        </w:rPr>
        <w:t xml:space="preserve"> June 2029. </w:t>
      </w:r>
      <w:r w:rsidR="00AB11D7" w:rsidRPr="005550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0137D" w14:textId="7FCE4AA8" w:rsidR="00697DB8" w:rsidRDefault="00697DB8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Association of University Programs in Health Administration (AUPHA) </w:t>
      </w:r>
      <w:r>
        <w:rPr>
          <w:rFonts w:asciiTheme="minorHAnsi" w:hAnsiTheme="minorHAnsi" w:cstheme="minorHAnsi"/>
          <w:sz w:val="22"/>
          <w:szCs w:val="22"/>
        </w:rPr>
        <w:t xml:space="preserve">approved Wichita State’s Health Management program as a fully certified undergraduate program member of AUPHA. This is an initial </w:t>
      </w:r>
      <w:proofErr w:type="gramStart"/>
      <w:r>
        <w:rPr>
          <w:rFonts w:asciiTheme="minorHAnsi" w:hAnsiTheme="minorHAnsi" w:cstheme="minorHAnsi"/>
          <w:sz w:val="22"/>
          <w:szCs w:val="22"/>
        </w:rPr>
        <w:t>certification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program will be due for re-certification in 2027-2028. </w:t>
      </w:r>
    </w:p>
    <w:p w14:paraId="286B63F6" w14:textId="56EF76C0" w:rsidR="00DF328C" w:rsidRPr="00DF328C" w:rsidRDefault="00DF328C" w:rsidP="00243D6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F328C">
        <w:rPr>
          <w:rFonts w:asciiTheme="minorHAnsi" w:hAnsiTheme="minorHAnsi" w:cstheme="minorHAnsi"/>
          <w:color w:val="FF0000"/>
          <w:sz w:val="22"/>
          <w:szCs w:val="22"/>
        </w:rPr>
        <w:t xml:space="preserve">American Alliance of museums </w:t>
      </w:r>
      <w:r w:rsidRPr="00DF328C">
        <w:rPr>
          <w:rFonts w:asciiTheme="minorHAnsi" w:hAnsiTheme="minorHAnsi" w:cstheme="minorHAnsi"/>
          <w:sz w:val="22"/>
          <w:szCs w:val="22"/>
        </w:rPr>
        <w:t xml:space="preserve">offers high profile, peer-based validation of your museum’s operations and impact. The accreditation process is centered on self-study and peer review and takes 8-16 months to </w:t>
      </w:r>
      <w:proofErr w:type="gramStart"/>
      <w:r w:rsidRPr="00DF328C">
        <w:rPr>
          <w:rFonts w:asciiTheme="minorHAnsi" w:hAnsiTheme="minorHAnsi" w:cstheme="minorHAnsi"/>
          <w:sz w:val="22"/>
          <w:szCs w:val="22"/>
        </w:rPr>
        <w:t>complete, and</w:t>
      </w:r>
      <w:proofErr w:type="gramEnd"/>
      <w:r w:rsidRPr="00DF328C">
        <w:rPr>
          <w:rFonts w:asciiTheme="minorHAnsi" w:hAnsiTheme="minorHAnsi" w:cstheme="minorHAnsi"/>
          <w:sz w:val="22"/>
          <w:szCs w:val="22"/>
        </w:rPr>
        <w:t xml:space="preserve"> should be done every 10 years.</w:t>
      </w:r>
      <w:r w:rsidRPr="00DF328C">
        <w:rPr>
          <w:rFonts w:ascii="Aptos" w:hAnsi="Aptos" w:cs="Aptos"/>
          <w:sz w:val="22"/>
          <w:szCs w:val="22"/>
        </w:rPr>
        <w:t xml:space="preserve"> </w:t>
      </w:r>
      <w:r w:rsidRPr="00DF328C">
        <w:rPr>
          <w:rFonts w:asciiTheme="minorHAnsi" w:hAnsiTheme="minorHAnsi" w:cstheme="minorHAnsi"/>
          <w:sz w:val="22"/>
          <w:szCs w:val="22"/>
        </w:rPr>
        <w:t>Site visit: August 12 and 13, 2024; waiting on Accreditation Commission review: October 2024 and Commission Decision Letter issued</w:t>
      </w:r>
    </w:p>
    <w:sectPr w:rsidR="00DF328C" w:rsidRPr="00DF328C" w:rsidSect="001E3519">
      <w:footerReference w:type="default" r:id="rId47"/>
      <w:footerReference w:type="first" r:id="rId48"/>
      <w:pgSz w:w="15840" w:h="12240" w:orient="landscape" w:code="1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45AA" w14:textId="77777777" w:rsidR="00666402" w:rsidRDefault="00666402" w:rsidP="00D16B88">
      <w:r>
        <w:separator/>
      </w:r>
    </w:p>
  </w:endnote>
  <w:endnote w:type="continuationSeparator" w:id="0">
    <w:p w14:paraId="5C5CF946" w14:textId="77777777" w:rsidR="00666402" w:rsidRDefault="00666402" w:rsidP="00D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pton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5D2D" w14:textId="52E3D268" w:rsidR="00720A60" w:rsidRDefault="00720A60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08601F">
      <w:rPr>
        <w:noProof/>
      </w:rPr>
      <w:t>Wednesday, June 18, 2025</w:t>
    </w:r>
    <w:r>
      <w:fldChar w:fldCharType="end"/>
    </w:r>
  </w:p>
  <w:p w14:paraId="52614AB5" w14:textId="77777777" w:rsidR="00720A60" w:rsidRDefault="00720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A98A" w14:textId="438ADC1A" w:rsidR="00E80F79" w:rsidRDefault="0040162D">
    <w:pPr>
      <w:pStyle w:val="Footer"/>
    </w:pPr>
    <w:r>
      <w:t xml:space="preserve">July </w:t>
    </w:r>
    <w:r w:rsidR="004B7541">
      <w:t>26</w:t>
    </w:r>
    <w: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B5D4" w14:textId="77777777" w:rsidR="00666402" w:rsidRDefault="00666402" w:rsidP="00D16B88">
      <w:r>
        <w:separator/>
      </w:r>
    </w:p>
  </w:footnote>
  <w:footnote w:type="continuationSeparator" w:id="0">
    <w:p w14:paraId="616832D0" w14:textId="77777777" w:rsidR="00666402" w:rsidRDefault="00666402" w:rsidP="00D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9B1"/>
    <w:multiLevelType w:val="hybridMultilevel"/>
    <w:tmpl w:val="B9FC772A"/>
    <w:lvl w:ilvl="0" w:tplc="E5F20A0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6A98"/>
    <w:multiLevelType w:val="hybridMultilevel"/>
    <w:tmpl w:val="18A6197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93B49"/>
    <w:multiLevelType w:val="hybridMultilevel"/>
    <w:tmpl w:val="7774FB2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0155"/>
    <w:multiLevelType w:val="hybridMultilevel"/>
    <w:tmpl w:val="431AB0C2"/>
    <w:lvl w:ilvl="0" w:tplc="A63E270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162"/>
    <w:multiLevelType w:val="hybridMultilevel"/>
    <w:tmpl w:val="B9FC772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9F40DF"/>
    <w:multiLevelType w:val="hybridMultilevel"/>
    <w:tmpl w:val="11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22D8"/>
    <w:multiLevelType w:val="hybridMultilevel"/>
    <w:tmpl w:val="FDBC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7B1"/>
    <w:multiLevelType w:val="hybridMultilevel"/>
    <w:tmpl w:val="EDF2E78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510166">
    <w:abstractNumId w:val="5"/>
  </w:num>
  <w:num w:numId="2" w16cid:durableId="1713575526">
    <w:abstractNumId w:val="6"/>
  </w:num>
  <w:num w:numId="3" w16cid:durableId="493031860">
    <w:abstractNumId w:val="0"/>
  </w:num>
  <w:num w:numId="4" w16cid:durableId="249974182">
    <w:abstractNumId w:val="2"/>
  </w:num>
  <w:num w:numId="5" w16cid:durableId="38405820">
    <w:abstractNumId w:val="7"/>
  </w:num>
  <w:num w:numId="6" w16cid:durableId="423428553">
    <w:abstractNumId w:val="1"/>
  </w:num>
  <w:num w:numId="7" w16cid:durableId="210192858">
    <w:abstractNumId w:val="4"/>
  </w:num>
  <w:num w:numId="8" w16cid:durableId="195987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wMDW2MDUyN7IE0ko6SsGpxcWZ+XkgBYYGtQCbYgFhLQAAAA=="/>
  </w:docVars>
  <w:rsids>
    <w:rsidRoot w:val="002832BA"/>
    <w:rsid w:val="000122FB"/>
    <w:rsid w:val="00012AA9"/>
    <w:rsid w:val="00017A9F"/>
    <w:rsid w:val="0003096A"/>
    <w:rsid w:val="00030C56"/>
    <w:rsid w:val="00030F15"/>
    <w:rsid w:val="00031254"/>
    <w:rsid w:val="00031E87"/>
    <w:rsid w:val="00037968"/>
    <w:rsid w:val="00047BC5"/>
    <w:rsid w:val="00053118"/>
    <w:rsid w:val="00057830"/>
    <w:rsid w:val="00063E67"/>
    <w:rsid w:val="000641C4"/>
    <w:rsid w:val="0008164C"/>
    <w:rsid w:val="00081A58"/>
    <w:rsid w:val="0008601F"/>
    <w:rsid w:val="000918B6"/>
    <w:rsid w:val="00095A98"/>
    <w:rsid w:val="000A1734"/>
    <w:rsid w:val="000A31F6"/>
    <w:rsid w:val="000C1448"/>
    <w:rsid w:val="000D472C"/>
    <w:rsid w:val="000E07B8"/>
    <w:rsid w:val="000F31FB"/>
    <w:rsid w:val="000F353D"/>
    <w:rsid w:val="000F5558"/>
    <w:rsid w:val="00101E08"/>
    <w:rsid w:val="001037FA"/>
    <w:rsid w:val="00104FCA"/>
    <w:rsid w:val="00111479"/>
    <w:rsid w:val="001241C6"/>
    <w:rsid w:val="00126A29"/>
    <w:rsid w:val="00130198"/>
    <w:rsid w:val="00136978"/>
    <w:rsid w:val="00137BFD"/>
    <w:rsid w:val="00141D8E"/>
    <w:rsid w:val="00154F43"/>
    <w:rsid w:val="001611E2"/>
    <w:rsid w:val="001620E2"/>
    <w:rsid w:val="0016332B"/>
    <w:rsid w:val="0016451A"/>
    <w:rsid w:val="00165B4D"/>
    <w:rsid w:val="001678C9"/>
    <w:rsid w:val="0017590B"/>
    <w:rsid w:val="00176E22"/>
    <w:rsid w:val="00183BE3"/>
    <w:rsid w:val="00184D4F"/>
    <w:rsid w:val="001907FA"/>
    <w:rsid w:val="0019387E"/>
    <w:rsid w:val="0019714D"/>
    <w:rsid w:val="001A3475"/>
    <w:rsid w:val="001A3C1D"/>
    <w:rsid w:val="001A7EB1"/>
    <w:rsid w:val="001B2489"/>
    <w:rsid w:val="001B52EC"/>
    <w:rsid w:val="001C5D51"/>
    <w:rsid w:val="001D0C06"/>
    <w:rsid w:val="001D3C5C"/>
    <w:rsid w:val="001D7C0E"/>
    <w:rsid w:val="001E3519"/>
    <w:rsid w:val="001E6068"/>
    <w:rsid w:val="001E7CB5"/>
    <w:rsid w:val="001F6159"/>
    <w:rsid w:val="001F69BE"/>
    <w:rsid w:val="001F6A56"/>
    <w:rsid w:val="00210D17"/>
    <w:rsid w:val="00233E58"/>
    <w:rsid w:val="00234C5D"/>
    <w:rsid w:val="00235CC5"/>
    <w:rsid w:val="002428F5"/>
    <w:rsid w:val="00244BB1"/>
    <w:rsid w:val="00250DBB"/>
    <w:rsid w:val="0025432B"/>
    <w:rsid w:val="002647E8"/>
    <w:rsid w:val="0026653A"/>
    <w:rsid w:val="002722F1"/>
    <w:rsid w:val="00276990"/>
    <w:rsid w:val="002775D0"/>
    <w:rsid w:val="002808BD"/>
    <w:rsid w:val="0028213B"/>
    <w:rsid w:val="002832BA"/>
    <w:rsid w:val="00286D8B"/>
    <w:rsid w:val="002875E9"/>
    <w:rsid w:val="00293F63"/>
    <w:rsid w:val="002C0719"/>
    <w:rsid w:val="002C0B73"/>
    <w:rsid w:val="002C50FB"/>
    <w:rsid w:val="002C7588"/>
    <w:rsid w:val="002D39E7"/>
    <w:rsid w:val="002D6988"/>
    <w:rsid w:val="002D6C4E"/>
    <w:rsid w:val="002E1ECB"/>
    <w:rsid w:val="002E52D4"/>
    <w:rsid w:val="002E5401"/>
    <w:rsid w:val="003046E3"/>
    <w:rsid w:val="00304824"/>
    <w:rsid w:val="00311356"/>
    <w:rsid w:val="00312949"/>
    <w:rsid w:val="00313BCA"/>
    <w:rsid w:val="0032022C"/>
    <w:rsid w:val="00320464"/>
    <w:rsid w:val="0032576F"/>
    <w:rsid w:val="00340827"/>
    <w:rsid w:val="00344B52"/>
    <w:rsid w:val="00346DD9"/>
    <w:rsid w:val="00350372"/>
    <w:rsid w:val="0036797D"/>
    <w:rsid w:val="003930A3"/>
    <w:rsid w:val="003940F3"/>
    <w:rsid w:val="003972F5"/>
    <w:rsid w:val="003A031E"/>
    <w:rsid w:val="003A744E"/>
    <w:rsid w:val="003B435E"/>
    <w:rsid w:val="003C4C6F"/>
    <w:rsid w:val="003D0F95"/>
    <w:rsid w:val="003D5156"/>
    <w:rsid w:val="003E40ED"/>
    <w:rsid w:val="003F0C2F"/>
    <w:rsid w:val="003F304C"/>
    <w:rsid w:val="003F5507"/>
    <w:rsid w:val="003F7050"/>
    <w:rsid w:val="0040162D"/>
    <w:rsid w:val="00411D35"/>
    <w:rsid w:val="004125B2"/>
    <w:rsid w:val="004143FA"/>
    <w:rsid w:val="004215B0"/>
    <w:rsid w:val="00427988"/>
    <w:rsid w:val="00430656"/>
    <w:rsid w:val="0043156D"/>
    <w:rsid w:val="00440E4D"/>
    <w:rsid w:val="00441E78"/>
    <w:rsid w:val="00446F36"/>
    <w:rsid w:val="00450500"/>
    <w:rsid w:val="00451C93"/>
    <w:rsid w:val="0046327E"/>
    <w:rsid w:val="00470B02"/>
    <w:rsid w:val="0047300B"/>
    <w:rsid w:val="004767DF"/>
    <w:rsid w:val="004844E7"/>
    <w:rsid w:val="00492520"/>
    <w:rsid w:val="00495432"/>
    <w:rsid w:val="004A760B"/>
    <w:rsid w:val="004B0D00"/>
    <w:rsid w:val="004B2139"/>
    <w:rsid w:val="004B291B"/>
    <w:rsid w:val="004B6DDB"/>
    <w:rsid w:val="004B7541"/>
    <w:rsid w:val="004C31E6"/>
    <w:rsid w:val="004C5C08"/>
    <w:rsid w:val="004C5DE2"/>
    <w:rsid w:val="004D045A"/>
    <w:rsid w:val="004D09D6"/>
    <w:rsid w:val="004E3051"/>
    <w:rsid w:val="004E607B"/>
    <w:rsid w:val="004E60B6"/>
    <w:rsid w:val="004E7713"/>
    <w:rsid w:val="005171B7"/>
    <w:rsid w:val="0052181D"/>
    <w:rsid w:val="0052454F"/>
    <w:rsid w:val="00526615"/>
    <w:rsid w:val="0052661B"/>
    <w:rsid w:val="00530CE8"/>
    <w:rsid w:val="00554E72"/>
    <w:rsid w:val="00555079"/>
    <w:rsid w:val="00561180"/>
    <w:rsid w:val="00587A99"/>
    <w:rsid w:val="00595825"/>
    <w:rsid w:val="00595B03"/>
    <w:rsid w:val="005A10A4"/>
    <w:rsid w:val="005A661B"/>
    <w:rsid w:val="005C368D"/>
    <w:rsid w:val="005E7832"/>
    <w:rsid w:val="005E7D65"/>
    <w:rsid w:val="005F50C0"/>
    <w:rsid w:val="00601A5A"/>
    <w:rsid w:val="006075DE"/>
    <w:rsid w:val="006209DB"/>
    <w:rsid w:val="00621D40"/>
    <w:rsid w:val="00624BBB"/>
    <w:rsid w:val="006263E3"/>
    <w:rsid w:val="00626694"/>
    <w:rsid w:val="0063042E"/>
    <w:rsid w:val="006326C5"/>
    <w:rsid w:val="00635BC7"/>
    <w:rsid w:val="0064195F"/>
    <w:rsid w:val="00643479"/>
    <w:rsid w:val="00647EDB"/>
    <w:rsid w:val="00651C38"/>
    <w:rsid w:val="0065216D"/>
    <w:rsid w:val="00655824"/>
    <w:rsid w:val="00655F55"/>
    <w:rsid w:val="006603BD"/>
    <w:rsid w:val="00665C24"/>
    <w:rsid w:val="00665D22"/>
    <w:rsid w:val="00666402"/>
    <w:rsid w:val="0066712E"/>
    <w:rsid w:val="006722F7"/>
    <w:rsid w:val="006802BE"/>
    <w:rsid w:val="00690E74"/>
    <w:rsid w:val="0069495B"/>
    <w:rsid w:val="00697DB8"/>
    <w:rsid w:val="006A0168"/>
    <w:rsid w:val="006A7D36"/>
    <w:rsid w:val="006C0E30"/>
    <w:rsid w:val="006C2319"/>
    <w:rsid w:val="006C47D4"/>
    <w:rsid w:val="006C5FC1"/>
    <w:rsid w:val="006F4332"/>
    <w:rsid w:val="00702A35"/>
    <w:rsid w:val="00715CCA"/>
    <w:rsid w:val="00720A60"/>
    <w:rsid w:val="00727D83"/>
    <w:rsid w:val="00744AD9"/>
    <w:rsid w:val="00744C16"/>
    <w:rsid w:val="00750B05"/>
    <w:rsid w:val="00753E83"/>
    <w:rsid w:val="00760435"/>
    <w:rsid w:val="00761626"/>
    <w:rsid w:val="0076451C"/>
    <w:rsid w:val="00781E40"/>
    <w:rsid w:val="00785C9C"/>
    <w:rsid w:val="00786413"/>
    <w:rsid w:val="007954D8"/>
    <w:rsid w:val="007A2FBF"/>
    <w:rsid w:val="007A5B2C"/>
    <w:rsid w:val="007B0635"/>
    <w:rsid w:val="007B423E"/>
    <w:rsid w:val="007B46DC"/>
    <w:rsid w:val="007D0AE6"/>
    <w:rsid w:val="007D45E4"/>
    <w:rsid w:val="007E7A27"/>
    <w:rsid w:val="007F20A7"/>
    <w:rsid w:val="007F2626"/>
    <w:rsid w:val="008018D6"/>
    <w:rsid w:val="00806237"/>
    <w:rsid w:val="00810DBA"/>
    <w:rsid w:val="008122D6"/>
    <w:rsid w:val="00812B32"/>
    <w:rsid w:val="008145AB"/>
    <w:rsid w:val="008168FA"/>
    <w:rsid w:val="008415E5"/>
    <w:rsid w:val="0084517E"/>
    <w:rsid w:val="00847137"/>
    <w:rsid w:val="008477B2"/>
    <w:rsid w:val="00855599"/>
    <w:rsid w:val="00856052"/>
    <w:rsid w:val="008565C4"/>
    <w:rsid w:val="00862D05"/>
    <w:rsid w:val="00864617"/>
    <w:rsid w:val="00870DC1"/>
    <w:rsid w:val="00871E5D"/>
    <w:rsid w:val="00875FC9"/>
    <w:rsid w:val="008776E9"/>
    <w:rsid w:val="00881E30"/>
    <w:rsid w:val="00890BE0"/>
    <w:rsid w:val="00892170"/>
    <w:rsid w:val="00895CE7"/>
    <w:rsid w:val="008B1B27"/>
    <w:rsid w:val="008D054E"/>
    <w:rsid w:val="008D4A3F"/>
    <w:rsid w:val="008D7363"/>
    <w:rsid w:val="008D7B73"/>
    <w:rsid w:val="008E51B4"/>
    <w:rsid w:val="008F4A29"/>
    <w:rsid w:val="008F7F6D"/>
    <w:rsid w:val="00914FF7"/>
    <w:rsid w:val="00917082"/>
    <w:rsid w:val="00921097"/>
    <w:rsid w:val="009264DF"/>
    <w:rsid w:val="0092766C"/>
    <w:rsid w:val="0093011D"/>
    <w:rsid w:val="00932F71"/>
    <w:rsid w:val="0093514B"/>
    <w:rsid w:val="0095623E"/>
    <w:rsid w:val="009622F6"/>
    <w:rsid w:val="00973864"/>
    <w:rsid w:val="009775D7"/>
    <w:rsid w:val="00994335"/>
    <w:rsid w:val="009B47D4"/>
    <w:rsid w:val="009C29AB"/>
    <w:rsid w:val="009C3629"/>
    <w:rsid w:val="009C4B4B"/>
    <w:rsid w:val="009C61B2"/>
    <w:rsid w:val="009D459C"/>
    <w:rsid w:val="009D648D"/>
    <w:rsid w:val="009D68A1"/>
    <w:rsid w:val="00A028DB"/>
    <w:rsid w:val="00A20F39"/>
    <w:rsid w:val="00A235AC"/>
    <w:rsid w:val="00A2365F"/>
    <w:rsid w:val="00A24226"/>
    <w:rsid w:val="00A319A2"/>
    <w:rsid w:val="00A41B6D"/>
    <w:rsid w:val="00A45E5D"/>
    <w:rsid w:val="00A475F3"/>
    <w:rsid w:val="00A542CA"/>
    <w:rsid w:val="00A56B8C"/>
    <w:rsid w:val="00A638DF"/>
    <w:rsid w:val="00A74840"/>
    <w:rsid w:val="00A76BB5"/>
    <w:rsid w:val="00A8348A"/>
    <w:rsid w:val="00A846A5"/>
    <w:rsid w:val="00A92938"/>
    <w:rsid w:val="00AA1463"/>
    <w:rsid w:val="00AA2931"/>
    <w:rsid w:val="00AB11D7"/>
    <w:rsid w:val="00AC0957"/>
    <w:rsid w:val="00AC21AD"/>
    <w:rsid w:val="00AC220B"/>
    <w:rsid w:val="00AC3D94"/>
    <w:rsid w:val="00AD58A0"/>
    <w:rsid w:val="00AE258F"/>
    <w:rsid w:val="00AE2800"/>
    <w:rsid w:val="00AE55B1"/>
    <w:rsid w:val="00AE63B7"/>
    <w:rsid w:val="00AF3DE6"/>
    <w:rsid w:val="00AF6897"/>
    <w:rsid w:val="00AF6E9D"/>
    <w:rsid w:val="00B0021F"/>
    <w:rsid w:val="00B047A1"/>
    <w:rsid w:val="00B0662E"/>
    <w:rsid w:val="00B11C68"/>
    <w:rsid w:val="00B15828"/>
    <w:rsid w:val="00B26BF0"/>
    <w:rsid w:val="00B33B00"/>
    <w:rsid w:val="00B409A6"/>
    <w:rsid w:val="00B54342"/>
    <w:rsid w:val="00B55BB5"/>
    <w:rsid w:val="00B56C71"/>
    <w:rsid w:val="00B611CF"/>
    <w:rsid w:val="00B6173D"/>
    <w:rsid w:val="00B72FDD"/>
    <w:rsid w:val="00B84869"/>
    <w:rsid w:val="00B93C9F"/>
    <w:rsid w:val="00BA1DC2"/>
    <w:rsid w:val="00BA584C"/>
    <w:rsid w:val="00BA6503"/>
    <w:rsid w:val="00BB0633"/>
    <w:rsid w:val="00BC0811"/>
    <w:rsid w:val="00BC3A40"/>
    <w:rsid w:val="00BC3B04"/>
    <w:rsid w:val="00BD3DE0"/>
    <w:rsid w:val="00BE3539"/>
    <w:rsid w:val="00BE789C"/>
    <w:rsid w:val="00BF0792"/>
    <w:rsid w:val="00BF3340"/>
    <w:rsid w:val="00C049CF"/>
    <w:rsid w:val="00C1259D"/>
    <w:rsid w:val="00C327C3"/>
    <w:rsid w:val="00C3601D"/>
    <w:rsid w:val="00C3611F"/>
    <w:rsid w:val="00C42724"/>
    <w:rsid w:val="00C43B19"/>
    <w:rsid w:val="00C54047"/>
    <w:rsid w:val="00C559DB"/>
    <w:rsid w:val="00C55F12"/>
    <w:rsid w:val="00C67BB8"/>
    <w:rsid w:val="00C73112"/>
    <w:rsid w:val="00C74B2C"/>
    <w:rsid w:val="00C84668"/>
    <w:rsid w:val="00C8650E"/>
    <w:rsid w:val="00CA11AD"/>
    <w:rsid w:val="00CB057C"/>
    <w:rsid w:val="00CB72A1"/>
    <w:rsid w:val="00CC17B2"/>
    <w:rsid w:val="00CE1D24"/>
    <w:rsid w:val="00CF17B7"/>
    <w:rsid w:val="00CF4B32"/>
    <w:rsid w:val="00CF5CC4"/>
    <w:rsid w:val="00D03BD8"/>
    <w:rsid w:val="00D07E2C"/>
    <w:rsid w:val="00D12095"/>
    <w:rsid w:val="00D16B88"/>
    <w:rsid w:val="00D21843"/>
    <w:rsid w:val="00D24319"/>
    <w:rsid w:val="00D2609F"/>
    <w:rsid w:val="00D30C9B"/>
    <w:rsid w:val="00D3511D"/>
    <w:rsid w:val="00D43ACE"/>
    <w:rsid w:val="00D569E2"/>
    <w:rsid w:val="00D738A1"/>
    <w:rsid w:val="00D7629C"/>
    <w:rsid w:val="00D85D49"/>
    <w:rsid w:val="00D92597"/>
    <w:rsid w:val="00D9430B"/>
    <w:rsid w:val="00DA26F7"/>
    <w:rsid w:val="00DA7A07"/>
    <w:rsid w:val="00DB001E"/>
    <w:rsid w:val="00DC03D4"/>
    <w:rsid w:val="00DC1D1C"/>
    <w:rsid w:val="00DD3659"/>
    <w:rsid w:val="00DE18DA"/>
    <w:rsid w:val="00DE44BA"/>
    <w:rsid w:val="00DE7228"/>
    <w:rsid w:val="00DF328C"/>
    <w:rsid w:val="00DF38D0"/>
    <w:rsid w:val="00E03501"/>
    <w:rsid w:val="00E106C7"/>
    <w:rsid w:val="00E16A2F"/>
    <w:rsid w:val="00E22A68"/>
    <w:rsid w:val="00E27B43"/>
    <w:rsid w:val="00E31C37"/>
    <w:rsid w:val="00E320AB"/>
    <w:rsid w:val="00E373B9"/>
    <w:rsid w:val="00E61C05"/>
    <w:rsid w:val="00E62F67"/>
    <w:rsid w:val="00E76378"/>
    <w:rsid w:val="00E80F79"/>
    <w:rsid w:val="00E92E61"/>
    <w:rsid w:val="00E96061"/>
    <w:rsid w:val="00EA10A2"/>
    <w:rsid w:val="00EA17C3"/>
    <w:rsid w:val="00EA224B"/>
    <w:rsid w:val="00EA4C4E"/>
    <w:rsid w:val="00EC1414"/>
    <w:rsid w:val="00EC2B44"/>
    <w:rsid w:val="00EC5280"/>
    <w:rsid w:val="00ED0B1C"/>
    <w:rsid w:val="00ED6379"/>
    <w:rsid w:val="00EE46EC"/>
    <w:rsid w:val="00EF0242"/>
    <w:rsid w:val="00F02C11"/>
    <w:rsid w:val="00F02EF5"/>
    <w:rsid w:val="00F04968"/>
    <w:rsid w:val="00F05AE7"/>
    <w:rsid w:val="00F063D2"/>
    <w:rsid w:val="00F20F3F"/>
    <w:rsid w:val="00F26C60"/>
    <w:rsid w:val="00F272C6"/>
    <w:rsid w:val="00F349D5"/>
    <w:rsid w:val="00F3690F"/>
    <w:rsid w:val="00F40BCE"/>
    <w:rsid w:val="00F41DFC"/>
    <w:rsid w:val="00F450FE"/>
    <w:rsid w:val="00F46C03"/>
    <w:rsid w:val="00F512CD"/>
    <w:rsid w:val="00F52DBF"/>
    <w:rsid w:val="00F5529D"/>
    <w:rsid w:val="00F66637"/>
    <w:rsid w:val="00F7396D"/>
    <w:rsid w:val="00F75DF4"/>
    <w:rsid w:val="00F92EF9"/>
    <w:rsid w:val="00F93CD9"/>
    <w:rsid w:val="00FA267A"/>
    <w:rsid w:val="00FB015E"/>
    <w:rsid w:val="00FB3E4F"/>
    <w:rsid w:val="00FC2A74"/>
    <w:rsid w:val="00FD17FD"/>
    <w:rsid w:val="00FD1F4F"/>
    <w:rsid w:val="00FD4C58"/>
    <w:rsid w:val="00FD5C6F"/>
    <w:rsid w:val="00FD6D5F"/>
    <w:rsid w:val="00FE1590"/>
    <w:rsid w:val="00FE1A98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57410"/>
  <w15:docId w15:val="{89588A24-F376-4F3C-9C29-224A7C4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7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D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88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BD3DE0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4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0B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02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8D0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D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5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ate.org/" TargetMode="External"/><Relationship Id="rId18" Type="http://schemas.openxmlformats.org/officeDocument/2006/relationships/hyperlink" Target="https://www.abet.org/" TargetMode="External"/><Relationship Id="rId26" Type="http://schemas.openxmlformats.org/officeDocument/2006/relationships/hyperlink" Target="https://www.abet.org/" TargetMode="External"/><Relationship Id="rId39" Type="http://schemas.openxmlformats.org/officeDocument/2006/relationships/hyperlink" Target="http://www.arc-pa.org/" TargetMode="Externa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https://www.naacls.org/about.aspx" TargetMode="External"/><Relationship Id="rId42" Type="http://schemas.openxmlformats.org/officeDocument/2006/relationships/hyperlink" Target="https://www.hfes.org/home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sponline.org/" TargetMode="External"/><Relationship Id="rId29" Type="http://schemas.openxmlformats.org/officeDocument/2006/relationships/hyperlink" Target="https://nasad.arts-accredit.org/accreditation/" TargetMode="External"/><Relationship Id="rId11" Type="http://schemas.openxmlformats.org/officeDocument/2006/relationships/hyperlink" Target="https://www.aacsb.edu/" TargetMode="External"/><Relationship Id="rId24" Type="http://schemas.openxmlformats.org/officeDocument/2006/relationships/hyperlink" Target="https://www.abet.org/" TargetMode="External"/><Relationship Id="rId32" Type="http://schemas.openxmlformats.org/officeDocument/2006/relationships/hyperlink" Target="https://www.ada.org/en/coda" TargetMode="External"/><Relationship Id="rId37" Type="http://schemas.openxmlformats.org/officeDocument/2006/relationships/hyperlink" Target="https://www.aacnnursing.org/CCNE" TargetMode="External"/><Relationship Id="rId40" Type="http://schemas.openxmlformats.org/officeDocument/2006/relationships/hyperlink" Target="https://www.aupha.org/home" TargetMode="External"/><Relationship Id="rId45" Type="http://schemas.openxmlformats.org/officeDocument/2006/relationships/hyperlink" Target="https://www.csw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ate.net/" TargetMode="External"/><Relationship Id="rId23" Type="http://schemas.openxmlformats.org/officeDocument/2006/relationships/hyperlink" Target="https://www.abet.org/" TargetMode="External"/><Relationship Id="rId28" Type="http://schemas.openxmlformats.org/officeDocument/2006/relationships/hyperlink" Target="https://nasd.arts-accredit.org/" TargetMode="External"/><Relationship Id="rId36" Type="http://schemas.openxmlformats.org/officeDocument/2006/relationships/hyperlink" Target="https://www.aacnnursing.org/CC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acsb.edu/" TargetMode="External"/><Relationship Id="rId19" Type="http://schemas.openxmlformats.org/officeDocument/2006/relationships/hyperlink" Target="https://www.abet.org/" TargetMode="External"/><Relationship Id="rId31" Type="http://schemas.openxmlformats.org/officeDocument/2006/relationships/hyperlink" Target="https://caa.asha.org/" TargetMode="External"/><Relationship Id="rId44" Type="http://schemas.openxmlformats.org/officeDocument/2006/relationships/hyperlink" Target="https://www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" TargetMode="External"/><Relationship Id="rId14" Type="http://schemas.openxmlformats.org/officeDocument/2006/relationships/hyperlink" Target="file:///\\ad.wichita.edu\VPAA\AVPAA_Share\Accreditation\Kansas%20State%20Board%20of%20Education" TargetMode="External"/><Relationship Id="rId22" Type="http://schemas.openxmlformats.org/officeDocument/2006/relationships/hyperlink" Target="https://www.abet.org/" TargetMode="External"/><Relationship Id="rId27" Type="http://schemas.openxmlformats.org/officeDocument/2006/relationships/hyperlink" Target="https://nasm.arts-accredit.org/accreditation/" TargetMode="External"/><Relationship Id="rId30" Type="http://schemas.openxmlformats.org/officeDocument/2006/relationships/hyperlink" Target="https://caa.asha.org/" TargetMode="External"/><Relationship Id="rId35" Type="http://schemas.openxmlformats.org/officeDocument/2006/relationships/hyperlink" Target="https://ksbn.kansas.gov/" TargetMode="External"/><Relationship Id="rId43" Type="http://schemas.openxmlformats.org/officeDocument/2006/relationships/hyperlink" Target="https://www.naspaa.org/accreditation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hlcommissio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crep.org/" TargetMode="External"/><Relationship Id="rId17" Type="http://schemas.openxmlformats.org/officeDocument/2006/relationships/hyperlink" Target="https://www.cosmaweb.org/" TargetMode="External"/><Relationship Id="rId25" Type="http://schemas.openxmlformats.org/officeDocument/2006/relationships/hyperlink" Target="https://www.abet.org/" TargetMode="External"/><Relationship Id="rId33" Type="http://schemas.openxmlformats.org/officeDocument/2006/relationships/hyperlink" Target="https://www.ada.org/en/coda" TargetMode="External"/><Relationship Id="rId38" Type="http://schemas.openxmlformats.org/officeDocument/2006/relationships/hyperlink" Target="http://www.capteonline.org/home.aspx" TargetMode="External"/><Relationship Id="rId46" Type="http://schemas.openxmlformats.org/officeDocument/2006/relationships/hyperlink" Target="https://www.aam-us.org/" TargetMode="External"/><Relationship Id="rId20" Type="http://schemas.openxmlformats.org/officeDocument/2006/relationships/hyperlink" Target="https://www.abet.org/" TargetMode="External"/><Relationship Id="rId41" Type="http://schemas.openxmlformats.org/officeDocument/2006/relationships/hyperlink" Target="https://www.acs.org/content/acs/e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474-BDEB-48C0-A19A-AEDCFF9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2171</Words>
  <Characters>15035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Name:</vt:lpstr>
    </vt:vector>
  </TitlesOfParts>
  <Company>KBOR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Name:</dc:title>
  <dc:creator>sfarris</dc:creator>
  <cp:lastModifiedBy>Jordan, Karla</cp:lastModifiedBy>
  <cp:revision>4</cp:revision>
  <cp:lastPrinted>2025-02-04T18:43:00Z</cp:lastPrinted>
  <dcterms:created xsi:type="dcterms:W3CDTF">2025-02-06T16:44:00Z</dcterms:created>
  <dcterms:modified xsi:type="dcterms:W3CDTF">2025-06-18T15:12:00Z</dcterms:modified>
</cp:coreProperties>
</file>