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F9E" w:rsidRDefault="00B93F9E" w:rsidP="00B93F9E">
      <w:pPr>
        <w:spacing w:after="0"/>
        <w:rPr>
          <w:b/>
          <w:color w:val="000000"/>
        </w:rPr>
      </w:pPr>
      <w:bookmarkStart w:id="0" w:name="_GoBack"/>
      <w:bookmarkEnd w:id="0"/>
    </w:p>
    <w:p w:rsidR="00B93F9E" w:rsidRPr="00426D68" w:rsidRDefault="00B82FBF" w:rsidP="00B82FBF">
      <w:pPr>
        <w:spacing w:after="0" w:line="240" w:lineRule="exact"/>
        <w:rPr>
          <w:bCs/>
          <w:color w:val="000000"/>
        </w:rPr>
      </w:pPr>
      <w:r w:rsidRPr="00B82FBF">
        <w:rPr>
          <w:b/>
          <w:color w:val="000000"/>
        </w:rPr>
        <w:t>Date:</w:t>
      </w:r>
      <w:r>
        <w:rPr>
          <w:bCs/>
          <w:color w:val="000000"/>
        </w:rPr>
        <w:tab/>
      </w:r>
      <w:r w:rsidR="007E0FC0" w:rsidRPr="00426D68">
        <w:rPr>
          <w:bCs/>
          <w:color w:val="000000"/>
        </w:rPr>
        <w:t xml:space="preserve">May </w:t>
      </w:r>
      <w:r w:rsidR="00EE243F">
        <w:rPr>
          <w:bCs/>
          <w:color w:val="000000"/>
        </w:rPr>
        <w:t>8</w:t>
      </w:r>
      <w:r w:rsidR="007E0FC0" w:rsidRPr="00426D68">
        <w:rPr>
          <w:bCs/>
          <w:color w:val="000000"/>
        </w:rPr>
        <w:t>, 2020</w:t>
      </w:r>
    </w:p>
    <w:p w:rsidR="00CF2D4D" w:rsidRDefault="00CF2D4D" w:rsidP="00B82FBF">
      <w:pPr>
        <w:spacing w:after="0" w:line="240" w:lineRule="exact"/>
        <w:rPr>
          <w:bCs/>
          <w:color w:val="000000"/>
        </w:rPr>
      </w:pPr>
    </w:p>
    <w:p w:rsidR="00407ED4" w:rsidRDefault="00407ED4" w:rsidP="00B82FBF">
      <w:pPr>
        <w:spacing w:after="0" w:line="240" w:lineRule="exact"/>
        <w:rPr>
          <w:bCs/>
          <w:color w:val="000000"/>
        </w:rPr>
      </w:pPr>
      <w:r w:rsidRPr="00B82FBF">
        <w:rPr>
          <w:b/>
          <w:color w:val="000000"/>
        </w:rPr>
        <w:t>To:</w:t>
      </w:r>
      <w:r>
        <w:rPr>
          <w:bCs/>
          <w:color w:val="000000"/>
        </w:rPr>
        <w:tab/>
        <w:t>Dr. Jay Golden</w:t>
      </w:r>
    </w:p>
    <w:p w:rsidR="00407ED4" w:rsidRDefault="00407ED4" w:rsidP="00B82FBF">
      <w:pPr>
        <w:spacing w:after="0" w:line="240" w:lineRule="exact"/>
        <w:rPr>
          <w:bCs/>
          <w:color w:val="000000"/>
        </w:rPr>
      </w:pPr>
    </w:p>
    <w:p w:rsidR="00407ED4" w:rsidRDefault="00407ED4" w:rsidP="00B82FBF">
      <w:pPr>
        <w:spacing w:after="0" w:line="240" w:lineRule="exact"/>
        <w:rPr>
          <w:bCs/>
          <w:color w:val="000000"/>
        </w:rPr>
      </w:pPr>
      <w:r w:rsidRPr="00B82FBF">
        <w:rPr>
          <w:b/>
          <w:color w:val="000000"/>
        </w:rPr>
        <w:t>From:</w:t>
      </w:r>
      <w:r>
        <w:rPr>
          <w:bCs/>
          <w:color w:val="000000"/>
        </w:rPr>
        <w:tab/>
      </w:r>
      <w:r w:rsidR="00B82FBF">
        <w:rPr>
          <w:bCs/>
          <w:color w:val="000000"/>
        </w:rPr>
        <w:t>Dr. Sheree Utash</w:t>
      </w:r>
    </w:p>
    <w:p w:rsidR="00B82FBF" w:rsidRPr="00426D68" w:rsidRDefault="00B82FBF" w:rsidP="00B82FBF">
      <w:pPr>
        <w:spacing w:after="0" w:line="240" w:lineRule="exact"/>
        <w:rPr>
          <w:bCs/>
          <w:color w:val="000000"/>
        </w:rPr>
      </w:pPr>
    </w:p>
    <w:p w:rsidR="009F4779" w:rsidRPr="002E3102" w:rsidRDefault="00B93F9E" w:rsidP="00B82FBF">
      <w:pPr>
        <w:pBdr>
          <w:bottom w:val="single" w:sz="4" w:space="1" w:color="auto"/>
        </w:pBdr>
        <w:spacing w:after="0" w:line="240" w:lineRule="exact"/>
        <w:rPr>
          <w:bCs/>
          <w:color w:val="000000"/>
        </w:rPr>
      </w:pPr>
      <w:r w:rsidRPr="00B82FBF">
        <w:rPr>
          <w:b/>
          <w:color w:val="000000"/>
        </w:rPr>
        <w:t>Re:</w:t>
      </w:r>
      <w:r>
        <w:rPr>
          <w:b/>
          <w:color w:val="000000"/>
        </w:rPr>
        <w:tab/>
      </w:r>
      <w:r w:rsidR="009F4779" w:rsidRPr="002E3102">
        <w:rPr>
          <w:bCs/>
          <w:color w:val="000000"/>
        </w:rPr>
        <w:t>Access to Higher Education Task Force – A Systems/Partnership</w:t>
      </w:r>
      <w:r w:rsidR="00447329">
        <w:rPr>
          <w:bCs/>
          <w:color w:val="000000"/>
        </w:rPr>
        <w:t>/Network</w:t>
      </w:r>
      <w:r w:rsidR="009F4779" w:rsidRPr="002E3102">
        <w:rPr>
          <w:bCs/>
          <w:color w:val="000000"/>
        </w:rPr>
        <w:t xml:space="preserve"> Approach</w:t>
      </w:r>
      <w:r w:rsidR="00CF2D4D" w:rsidRPr="002E3102">
        <w:rPr>
          <w:bCs/>
          <w:color w:val="000000"/>
        </w:rPr>
        <w:t xml:space="preserve"> </w:t>
      </w:r>
      <w:r w:rsidR="00447329">
        <w:rPr>
          <w:bCs/>
          <w:color w:val="000000"/>
        </w:rPr>
        <w:t>Taskforce Report</w:t>
      </w:r>
    </w:p>
    <w:p w:rsidR="00CF2D4D" w:rsidRPr="002E3102" w:rsidRDefault="00CF2D4D" w:rsidP="00B82FBF">
      <w:pPr>
        <w:spacing w:after="0" w:line="120" w:lineRule="exact"/>
        <w:jc w:val="both"/>
        <w:rPr>
          <w:bCs/>
          <w:color w:val="000000"/>
        </w:rPr>
      </w:pPr>
    </w:p>
    <w:p w:rsidR="009F4779" w:rsidRPr="00E5041B" w:rsidRDefault="009F4779" w:rsidP="00FE0B04">
      <w:pPr>
        <w:spacing w:after="0"/>
        <w:jc w:val="both"/>
        <w:rPr>
          <w:color w:val="000000"/>
        </w:rPr>
      </w:pPr>
      <w:r w:rsidRPr="00E5041B">
        <w:rPr>
          <w:color w:val="000000"/>
        </w:rPr>
        <w:t xml:space="preserve">Overview:  </w:t>
      </w:r>
    </w:p>
    <w:p w:rsidR="009F4779" w:rsidRDefault="009F4779" w:rsidP="00CF2D4D">
      <w:pPr>
        <w:pStyle w:val="ListParagraph"/>
        <w:spacing w:before="0" w:beforeAutospacing="0" w:after="0" w:afterAutospacing="0" w:line="80" w:lineRule="exact"/>
        <w:ind w:left="1440" w:hanging="360"/>
        <w:jc w:val="both"/>
        <w:rPr>
          <w:rFonts w:ascii="Calibri" w:hAnsi="Calibri"/>
          <w:color w:val="000000"/>
          <w:sz w:val="22"/>
          <w:szCs w:val="22"/>
        </w:rPr>
      </w:pPr>
    </w:p>
    <w:p w:rsidR="009F4779" w:rsidRDefault="009F4779" w:rsidP="002E3102">
      <w:pPr>
        <w:spacing w:line="240" w:lineRule="auto"/>
        <w:jc w:val="both"/>
        <w:rPr>
          <w:color w:val="000000"/>
        </w:rPr>
      </w:pPr>
      <w:r w:rsidRPr="00E5041B">
        <w:rPr>
          <w:color w:val="000000"/>
        </w:rPr>
        <w:t xml:space="preserve">The task force met once in person and twice via Zoom to discuss the university’s ability to enhance and expand our affiliation(s) in a manner that will significantly increase opportunities for all Kansans to have access to higher education.  The focus for the taskforce was to explore the development of new programs, partnerships, new alliances and investing in systems to support the student experience. Given the wide array of professional experience represented on the task force, a decision was quickly made that the group’s charge was to determine the feasibility of future discussions on these topics and not </w:t>
      </w:r>
      <w:r w:rsidR="00C04F85" w:rsidRPr="00E5041B">
        <w:rPr>
          <w:color w:val="000000"/>
        </w:rPr>
        <w:t>whether</w:t>
      </w:r>
      <w:r w:rsidRPr="00E5041B">
        <w:rPr>
          <w:color w:val="000000"/>
        </w:rPr>
        <w:t xml:space="preserve"> any or all</w:t>
      </w:r>
      <w:r w:rsidR="000108EC">
        <w:rPr>
          <w:color w:val="000000"/>
        </w:rPr>
        <w:t xml:space="preserve"> </w:t>
      </w:r>
      <w:r w:rsidRPr="00E5041B">
        <w:rPr>
          <w:color w:val="000000"/>
        </w:rPr>
        <w:t xml:space="preserve">of these topics were/are viable.  Moreover, members of the task force voiced reservations about being able to make any recommendations in isolation of the many initiatives being discussed on campus at present. Additionally, this taskforce began Pre-COVID and is ending as we make plans to re-integrate back to campus.  The enrollment and economic conditions as a result of this pandemic makes this initiative more critical as we seek to remove barriers and provide opportunities for students. </w:t>
      </w:r>
      <w:r>
        <w:rPr>
          <w:color w:val="000000"/>
        </w:rPr>
        <w:tab/>
      </w:r>
    </w:p>
    <w:p w:rsidR="009F4779" w:rsidRPr="002405F3" w:rsidRDefault="009F4779" w:rsidP="009F4779">
      <w:pPr>
        <w:pStyle w:val="ListParagraph"/>
        <w:numPr>
          <w:ilvl w:val="0"/>
          <w:numId w:val="2"/>
        </w:numPr>
        <w:spacing w:before="0" w:beforeAutospacing="0" w:after="0" w:afterAutospacing="0"/>
        <w:jc w:val="both"/>
        <w:rPr>
          <w:rFonts w:ascii="Calibri" w:hAnsi="Calibri"/>
          <w:b/>
          <w:color w:val="000000"/>
          <w:sz w:val="22"/>
          <w:szCs w:val="22"/>
        </w:rPr>
      </w:pPr>
      <w:r>
        <w:rPr>
          <w:rFonts w:ascii="Calibri" w:hAnsi="Calibri"/>
          <w:b/>
          <w:color w:val="000000"/>
          <w:sz w:val="22"/>
          <w:szCs w:val="22"/>
        </w:rPr>
        <w:t>A national, state, and local overview of higher education affiliations</w:t>
      </w:r>
    </w:p>
    <w:p w:rsidR="009F4779" w:rsidRDefault="009F4779" w:rsidP="009F4779">
      <w:pPr>
        <w:pStyle w:val="ListParagraph"/>
        <w:spacing w:before="0" w:beforeAutospacing="0" w:after="0" w:afterAutospacing="0"/>
        <w:ind w:left="1800"/>
        <w:jc w:val="both"/>
        <w:rPr>
          <w:rFonts w:ascii="Calibri" w:hAnsi="Calibri"/>
          <w:color w:val="000000"/>
          <w:sz w:val="22"/>
          <w:szCs w:val="22"/>
        </w:rPr>
      </w:pPr>
      <w:r>
        <w:rPr>
          <w:rFonts w:ascii="Calibri" w:hAnsi="Calibri"/>
          <w:color w:val="000000"/>
          <w:sz w:val="22"/>
          <w:szCs w:val="22"/>
        </w:rPr>
        <w:t>We reviewed this topic from a national level</w:t>
      </w:r>
      <w:r w:rsidR="00CF3547">
        <w:rPr>
          <w:rFonts w:ascii="Calibri" w:hAnsi="Calibri"/>
          <w:color w:val="000000"/>
          <w:sz w:val="22"/>
          <w:szCs w:val="22"/>
        </w:rPr>
        <w:t xml:space="preserve"> with</w:t>
      </w:r>
      <w:r w:rsidR="00E2647D">
        <w:rPr>
          <w:rFonts w:ascii="Calibri" w:hAnsi="Calibri"/>
          <w:color w:val="000000"/>
          <w:sz w:val="22"/>
          <w:szCs w:val="22"/>
        </w:rPr>
        <w:t xml:space="preserve"> </w:t>
      </w:r>
      <w:r>
        <w:rPr>
          <w:rFonts w:ascii="Calibri" w:hAnsi="Calibri"/>
          <w:color w:val="000000"/>
          <w:sz w:val="22"/>
          <w:szCs w:val="22"/>
        </w:rPr>
        <w:t>better understanding the consolidations, mergers and affiliations in Connecticut, Louisiana, Pennsylvania, Georgia, Minnesota, Arkansas, Maine, Kentucky and New Mexico.</w:t>
      </w:r>
    </w:p>
    <w:p w:rsidR="009F4779" w:rsidRDefault="009F4779" w:rsidP="002E3102">
      <w:pPr>
        <w:pStyle w:val="ListParagraph"/>
        <w:spacing w:before="0" w:beforeAutospacing="0" w:after="0" w:afterAutospacing="0" w:line="80" w:lineRule="exact"/>
        <w:ind w:left="1800"/>
        <w:jc w:val="both"/>
        <w:rPr>
          <w:rFonts w:ascii="Calibri" w:hAnsi="Calibri"/>
          <w:color w:val="000000"/>
          <w:sz w:val="22"/>
          <w:szCs w:val="22"/>
        </w:rPr>
      </w:pPr>
    </w:p>
    <w:p w:rsidR="009F4779" w:rsidRDefault="000457BD" w:rsidP="009F4779">
      <w:pPr>
        <w:pStyle w:val="ListParagraph"/>
        <w:spacing w:before="0" w:beforeAutospacing="0" w:after="0" w:afterAutospacing="0"/>
        <w:ind w:left="1800"/>
        <w:jc w:val="both"/>
        <w:rPr>
          <w:rFonts w:ascii="Calibri" w:hAnsi="Calibri"/>
          <w:color w:val="000000"/>
          <w:sz w:val="22"/>
          <w:szCs w:val="22"/>
        </w:rPr>
      </w:pPr>
      <w:r>
        <w:rPr>
          <w:rFonts w:ascii="Calibri" w:hAnsi="Calibri"/>
          <w:color w:val="000000"/>
          <w:sz w:val="22"/>
          <w:szCs w:val="22"/>
        </w:rPr>
        <w:t>T</w:t>
      </w:r>
      <w:r w:rsidR="009F4779">
        <w:rPr>
          <w:rFonts w:ascii="Calibri" w:hAnsi="Calibri"/>
          <w:color w:val="000000"/>
          <w:sz w:val="22"/>
          <w:szCs w:val="22"/>
        </w:rPr>
        <w:t xml:space="preserve">hen </w:t>
      </w:r>
      <w:r>
        <w:rPr>
          <w:rFonts w:ascii="Calibri" w:hAnsi="Calibri"/>
          <w:color w:val="000000"/>
          <w:sz w:val="22"/>
          <w:szCs w:val="22"/>
        </w:rPr>
        <w:t xml:space="preserve">we </w:t>
      </w:r>
      <w:r w:rsidR="009F4779">
        <w:rPr>
          <w:rFonts w:ascii="Calibri" w:hAnsi="Calibri"/>
          <w:color w:val="000000"/>
          <w:sz w:val="22"/>
          <w:szCs w:val="22"/>
        </w:rPr>
        <w:t>took a state look at this topic and reviewed the merger of Washburn and Washburn Tech with a final overview of the affiliation between WSU and WSU Tech.</w:t>
      </w:r>
    </w:p>
    <w:p w:rsidR="00AD2C8F" w:rsidRDefault="00AD2C8F" w:rsidP="00AD2C8F">
      <w:pPr>
        <w:pStyle w:val="ListParagraph"/>
        <w:spacing w:before="0" w:beforeAutospacing="0" w:after="0" w:afterAutospacing="0" w:line="120" w:lineRule="exact"/>
        <w:ind w:left="1800"/>
        <w:jc w:val="both"/>
        <w:rPr>
          <w:rFonts w:ascii="Calibri" w:hAnsi="Calibri"/>
          <w:color w:val="000000"/>
          <w:sz w:val="22"/>
          <w:szCs w:val="22"/>
        </w:rPr>
      </w:pPr>
    </w:p>
    <w:p w:rsidR="009F4779" w:rsidRPr="002405F3" w:rsidRDefault="009F4779" w:rsidP="009F4779">
      <w:pPr>
        <w:pStyle w:val="ListParagraph"/>
        <w:spacing w:before="0" w:beforeAutospacing="0" w:after="0" w:afterAutospacing="0"/>
        <w:ind w:left="1800"/>
        <w:jc w:val="both"/>
        <w:rPr>
          <w:rFonts w:ascii="Calibri" w:hAnsi="Calibri"/>
          <w:color w:val="000000"/>
          <w:sz w:val="22"/>
          <w:szCs w:val="22"/>
        </w:rPr>
      </w:pPr>
      <w:r>
        <w:rPr>
          <w:rFonts w:ascii="Calibri" w:hAnsi="Calibri"/>
          <w:color w:val="000000"/>
          <w:sz w:val="22"/>
          <w:szCs w:val="22"/>
        </w:rPr>
        <w:t>Studies that were shared:</w:t>
      </w:r>
    </w:p>
    <w:p w:rsidR="009F4779" w:rsidRDefault="009F4779" w:rsidP="009F4779">
      <w:pPr>
        <w:pStyle w:val="ListParagraph"/>
        <w:numPr>
          <w:ilvl w:val="1"/>
          <w:numId w:val="2"/>
        </w:numPr>
        <w:spacing w:before="0" w:beforeAutospacing="0" w:after="0" w:afterAutospacing="0"/>
        <w:jc w:val="both"/>
        <w:rPr>
          <w:rFonts w:ascii="Calibri" w:hAnsi="Calibri"/>
          <w:color w:val="000000"/>
          <w:sz w:val="22"/>
          <w:szCs w:val="22"/>
        </w:rPr>
      </w:pPr>
      <w:r>
        <w:rPr>
          <w:rFonts w:ascii="Calibri" w:hAnsi="Calibri"/>
          <w:color w:val="000000"/>
          <w:sz w:val="22"/>
          <w:szCs w:val="22"/>
        </w:rPr>
        <w:t>TIAA Institute Study – Mergers in Higher Education, a proactive study to a better future</w:t>
      </w:r>
    </w:p>
    <w:p w:rsidR="009F4779" w:rsidRPr="004D0E24" w:rsidRDefault="009F4779" w:rsidP="009F4779">
      <w:pPr>
        <w:pStyle w:val="ListParagraph"/>
        <w:numPr>
          <w:ilvl w:val="1"/>
          <w:numId w:val="2"/>
        </w:numPr>
        <w:spacing w:before="0" w:beforeAutospacing="0" w:after="0" w:afterAutospacing="0"/>
        <w:jc w:val="both"/>
        <w:rPr>
          <w:rFonts w:ascii="Calibri" w:hAnsi="Calibri"/>
          <w:color w:val="000000"/>
          <w:sz w:val="22"/>
          <w:szCs w:val="22"/>
        </w:rPr>
      </w:pPr>
      <w:r>
        <w:rPr>
          <w:rFonts w:ascii="Calibri" w:hAnsi="Calibri"/>
          <w:color w:val="000000"/>
          <w:sz w:val="22"/>
          <w:szCs w:val="22"/>
        </w:rPr>
        <w:t>Inside Higher Ed – Growing Role of Mergers in Higher Ed</w:t>
      </w:r>
    </w:p>
    <w:p w:rsidR="009F4779" w:rsidRDefault="009F4779" w:rsidP="009F4779">
      <w:pPr>
        <w:pStyle w:val="ListParagraph"/>
        <w:numPr>
          <w:ilvl w:val="1"/>
          <w:numId w:val="2"/>
        </w:numPr>
        <w:spacing w:before="0" w:beforeAutospacing="0" w:after="0" w:afterAutospacing="0"/>
        <w:jc w:val="both"/>
        <w:rPr>
          <w:rFonts w:ascii="Calibri" w:hAnsi="Calibri"/>
          <w:color w:val="000000"/>
          <w:sz w:val="22"/>
          <w:szCs w:val="22"/>
        </w:rPr>
      </w:pPr>
      <w:r>
        <w:rPr>
          <w:rFonts w:ascii="Calibri" w:hAnsi="Calibri"/>
          <w:color w:val="000000"/>
          <w:sz w:val="22"/>
          <w:szCs w:val="22"/>
        </w:rPr>
        <w:t>Boston University – Introduction: A Tale of Two Mergers</w:t>
      </w:r>
    </w:p>
    <w:p w:rsidR="009F4779" w:rsidRPr="009667F0" w:rsidRDefault="009F4779" w:rsidP="009F4779">
      <w:pPr>
        <w:pStyle w:val="ListParagraph"/>
        <w:numPr>
          <w:ilvl w:val="1"/>
          <w:numId w:val="2"/>
        </w:numPr>
        <w:spacing w:before="0" w:beforeAutospacing="0" w:after="0" w:afterAutospacing="0"/>
        <w:jc w:val="both"/>
        <w:rPr>
          <w:rFonts w:ascii="Calibri" w:hAnsi="Calibri"/>
          <w:color w:val="000000"/>
          <w:sz w:val="22"/>
          <w:szCs w:val="22"/>
        </w:rPr>
      </w:pPr>
      <w:r>
        <w:rPr>
          <w:rFonts w:ascii="Calibri" w:hAnsi="Calibri"/>
          <w:color w:val="000000"/>
          <w:sz w:val="22"/>
          <w:szCs w:val="22"/>
        </w:rPr>
        <w:t>Arkansas System Design – started with 1 community college now have 7 in their system</w:t>
      </w:r>
    </w:p>
    <w:p w:rsidR="0093426A" w:rsidRDefault="0093426A" w:rsidP="0093426A">
      <w:pPr>
        <w:spacing w:after="0" w:line="240" w:lineRule="auto"/>
        <w:ind w:firstLine="720"/>
        <w:jc w:val="both"/>
        <w:rPr>
          <w:b/>
          <w:color w:val="000000"/>
        </w:rPr>
      </w:pPr>
    </w:p>
    <w:p w:rsidR="009F4779" w:rsidRPr="00E5041B" w:rsidRDefault="009F4779" w:rsidP="0093426A">
      <w:pPr>
        <w:spacing w:after="0" w:line="240" w:lineRule="auto"/>
        <w:ind w:left="1080" w:firstLine="720"/>
        <w:jc w:val="both"/>
        <w:rPr>
          <w:b/>
          <w:color w:val="000000"/>
        </w:rPr>
      </w:pPr>
      <w:r w:rsidRPr="00E5041B">
        <w:rPr>
          <w:b/>
          <w:color w:val="000000"/>
        </w:rPr>
        <w:t>Recommendation:</w:t>
      </w:r>
      <w:r>
        <w:rPr>
          <w:b/>
          <w:color w:val="000000"/>
        </w:rPr>
        <w:t xml:space="preserve">  Continue Exploration and d</w:t>
      </w:r>
      <w:r w:rsidRPr="00E5041B">
        <w:rPr>
          <w:b/>
          <w:color w:val="000000"/>
        </w:rPr>
        <w:t>iscovery on this Initiative.</w:t>
      </w:r>
    </w:p>
    <w:p w:rsidR="009F4779" w:rsidRDefault="009F4779" w:rsidP="0093426A">
      <w:pPr>
        <w:pStyle w:val="NormalWeb"/>
        <w:spacing w:before="0" w:beforeAutospacing="0" w:after="0" w:afterAutospacing="0" w:line="80" w:lineRule="exact"/>
        <w:jc w:val="both"/>
        <w:rPr>
          <w:rFonts w:ascii="Calibri" w:eastAsiaTheme="minorHAnsi" w:hAnsi="Calibri" w:cstheme="minorBidi"/>
          <w:color w:val="000000"/>
          <w:sz w:val="22"/>
          <w:szCs w:val="22"/>
        </w:rPr>
      </w:pPr>
    </w:p>
    <w:p w:rsidR="009F4779" w:rsidRDefault="009F4779" w:rsidP="0093426A">
      <w:pPr>
        <w:pStyle w:val="NormalWeb"/>
        <w:spacing w:before="0" w:beforeAutospacing="0" w:after="0" w:afterAutospacing="0"/>
        <w:ind w:left="1800"/>
        <w:jc w:val="both"/>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The University</w:t>
      </w:r>
      <w:r w:rsidRPr="00B205FC">
        <w:rPr>
          <w:rFonts w:asciiTheme="minorHAnsi" w:eastAsiaTheme="minorEastAsia" w:hAnsi="Calibri" w:cstheme="minorBidi"/>
          <w:color w:val="000000" w:themeColor="text1"/>
          <w:kern w:val="24"/>
          <w:sz w:val="22"/>
          <w:szCs w:val="22"/>
        </w:rPr>
        <w:t xml:space="preserve"> is concerned with increasing access to higher education opportunities and providing an appropriate response to the need for expanded higher education opportunities for all citizens </w:t>
      </w:r>
      <w:r>
        <w:rPr>
          <w:rFonts w:asciiTheme="minorHAnsi" w:eastAsiaTheme="minorEastAsia" w:hAnsi="Calibri" w:cstheme="minorBidi"/>
          <w:color w:val="000000" w:themeColor="text1"/>
          <w:kern w:val="24"/>
          <w:sz w:val="22"/>
          <w:szCs w:val="22"/>
        </w:rPr>
        <w:t>o</w:t>
      </w:r>
      <w:r w:rsidRPr="00B205FC">
        <w:rPr>
          <w:rFonts w:asciiTheme="minorHAnsi" w:eastAsiaTheme="minorEastAsia" w:hAnsi="Calibri" w:cstheme="minorBidi"/>
          <w:color w:val="000000" w:themeColor="text1"/>
          <w:kern w:val="24"/>
          <w:sz w:val="22"/>
          <w:szCs w:val="22"/>
        </w:rPr>
        <w:t xml:space="preserve">f the state. Community colleges </w:t>
      </w:r>
      <w:r>
        <w:rPr>
          <w:rFonts w:asciiTheme="minorHAnsi" w:eastAsiaTheme="minorEastAsia" w:hAnsi="Calibri" w:cstheme="minorBidi"/>
          <w:color w:val="000000" w:themeColor="text1"/>
          <w:kern w:val="24"/>
          <w:sz w:val="22"/>
          <w:szCs w:val="22"/>
        </w:rPr>
        <w:t xml:space="preserve">are </w:t>
      </w:r>
      <w:r w:rsidRPr="00B205FC">
        <w:rPr>
          <w:rFonts w:asciiTheme="minorHAnsi" w:eastAsiaTheme="minorEastAsia" w:hAnsi="Calibri" w:cstheme="minorBidi"/>
          <w:color w:val="000000" w:themeColor="text1"/>
          <w:kern w:val="24"/>
          <w:sz w:val="22"/>
          <w:szCs w:val="22"/>
        </w:rPr>
        <w:t xml:space="preserve">expressing similar concern for providing more accessible quality higher education opportunities suitable to the economic and cultural development of their service areas. </w:t>
      </w:r>
    </w:p>
    <w:p w:rsidR="009F4779" w:rsidRDefault="009F4779" w:rsidP="00826FB6">
      <w:pPr>
        <w:pStyle w:val="NormalWeb"/>
        <w:spacing w:before="0" w:beforeAutospacing="0" w:after="0" w:afterAutospacing="0" w:line="120" w:lineRule="exact"/>
        <w:ind w:left="1800"/>
        <w:jc w:val="both"/>
        <w:rPr>
          <w:rFonts w:asciiTheme="minorHAnsi" w:eastAsiaTheme="minorEastAsia" w:hAnsi="Calibri" w:cstheme="minorBidi"/>
          <w:color w:val="000000" w:themeColor="text1"/>
          <w:kern w:val="24"/>
          <w:sz w:val="22"/>
          <w:szCs w:val="22"/>
        </w:rPr>
      </w:pPr>
    </w:p>
    <w:p w:rsidR="009F4779" w:rsidRDefault="009F4779" w:rsidP="0093426A">
      <w:pPr>
        <w:pStyle w:val="NormalWeb"/>
        <w:spacing w:before="0" w:beforeAutospacing="0" w:after="0" w:afterAutospacing="0"/>
        <w:ind w:left="1800"/>
        <w:jc w:val="both"/>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Statements of Exploration should include:</w:t>
      </w:r>
    </w:p>
    <w:p w:rsidR="009F4779" w:rsidRDefault="009F4779" w:rsidP="0093426A">
      <w:pPr>
        <w:pStyle w:val="NormalWeb"/>
        <w:numPr>
          <w:ilvl w:val="0"/>
          <w:numId w:val="3"/>
        </w:numPr>
        <w:spacing w:before="0" w:beforeAutospacing="0" w:after="0" w:afterAutospacing="0"/>
        <w:ind w:left="2160"/>
        <w:jc w:val="both"/>
        <w:rPr>
          <w:rFonts w:asciiTheme="minorHAnsi" w:eastAsiaTheme="minorEastAsia" w:hAnsi="Calibri" w:cstheme="minorBidi"/>
          <w:color w:val="000000" w:themeColor="text1"/>
          <w:kern w:val="24"/>
          <w:sz w:val="22"/>
          <w:szCs w:val="22"/>
        </w:rPr>
      </w:pPr>
      <w:r w:rsidRPr="00B205FC">
        <w:rPr>
          <w:rFonts w:asciiTheme="minorHAnsi" w:eastAsiaTheme="minorEastAsia" w:hAnsi="Calibri" w:cstheme="minorBidi"/>
          <w:color w:val="000000" w:themeColor="text1"/>
          <w:kern w:val="24"/>
          <w:sz w:val="22"/>
          <w:szCs w:val="22"/>
        </w:rPr>
        <w:t xml:space="preserve">Could an expanded multi campus </w:t>
      </w:r>
      <w:r>
        <w:rPr>
          <w:rFonts w:asciiTheme="minorHAnsi" w:eastAsiaTheme="minorEastAsia" w:hAnsi="Calibri" w:cstheme="minorBidi"/>
          <w:color w:val="000000" w:themeColor="text1"/>
          <w:kern w:val="24"/>
          <w:sz w:val="22"/>
          <w:szCs w:val="22"/>
        </w:rPr>
        <w:t xml:space="preserve">model </w:t>
      </w:r>
      <w:r w:rsidRPr="00B205FC">
        <w:rPr>
          <w:rFonts w:asciiTheme="minorHAnsi" w:eastAsiaTheme="minorEastAsia" w:hAnsi="Calibri" w:cstheme="minorBidi"/>
          <w:color w:val="000000" w:themeColor="text1"/>
          <w:kern w:val="24"/>
          <w:sz w:val="22"/>
          <w:szCs w:val="22"/>
        </w:rPr>
        <w:t>for WSU enhance educational opportunities for the</w:t>
      </w:r>
      <w:r>
        <w:rPr>
          <w:rFonts w:asciiTheme="minorHAnsi" w:eastAsiaTheme="minorEastAsia" w:hAnsi="Calibri" w:cstheme="minorBidi"/>
          <w:color w:val="000000" w:themeColor="text1"/>
          <w:kern w:val="24"/>
          <w:sz w:val="22"/>
          <w:szCs w:val="22"/>
        </w:rPr>
        <w:t xml:space="preserve"> citizens in South Central Kansas</w:t>
      </w:r>
      <w:r w:rsidRPr="00B205FC">
        <w:rPr>
          <w:rFonts w:asciiTheme="minorHAnsi" w:eastAsiaTheme="minorEastAsia" w:hAnsi="Calibri" w:cstheme="minorBidi"/>
          <w:color w:val="000000" w:themeColor="text1"/>
          <w:kern w:val="24"/>
          <w:sz w:val="22"/>
          <w:szCs w:val="22"/>
        </w:rPr>
        <w:t xml:space="preserve"> by providing the benefits of a WSU system</w:t>
      </w:r>
      <w:r>
        <w:rPr>
          <w:rFonts w:asciiTheme="minorHAnsi" w:eastAsiaTheme="minorEastAsia" w:hAnsi="Calibri" w:cstheme="minorBidi"/>
          <w:color w:val="000000" w:themeColor="text1"/>
          <w:kern w:val="24"/>
          <w:sz w:val="22"/>
          <w:szCs w:val="22"/>
        </w:rPr>
        <w:t>,</w:t>
      </w:r>
      <w:r w:rsidRPr="00B205FC">
        <w:rPr>
          <w:rFonts w:asciiTheme="minorHAnsi" w:eastAsiaTheme="minorEastAsia" w:hAnsi="Calibri" w:cstheme="minorBidi"/>
          <w:color w:val="000000" w:themeColor="text1"/>
          <w:kern w:val="24"/>
          <w:sz w:val="22"/>
          <w:szCs w:val="22"/>
        </w:rPr>
        <w:t xml:space="preserve"> while retaining the community</w:t>
      </w:r>
      <w:r>
        <w:rPr>
          <w:rFonts w:asciiTheme="minorHAnsi" w:eastAsiaTheme="minorEastAsia" w:hAnsi="Calibri" w:cstheme="minorBidi"/>
          <w:color w:val="000000" w:themeColor="text1"/>
          <w:kern w:val="24"/>
          <w:sz w:val="22"/>
          <w:szCs w:val="22"/>
        </w:rPr>
        <w:t>/local</w:t>
      </w:r>
      <w:r w:rsidRPr="00B205FC">
        <w:rPr>
          <w:rFonts w:asciiTheme="minorHAnsi" w:eastAsiaTheme="minorEastAsia" w:hAnsi="Calibri" w:cstheme="minorBidi"/>
          <w:color w:val="000000" w:themeColor="text1"/>
          <w:kern w:val="24"/>
          <w:sz w:val="22"/>
          <w:szCs w:val="22"/>
        </w:rPr>
        <w:t xml:space="preserve"> commitment of the community college</w:t>
      </w:r>
      <w:r>
        <w:rPr>
          <w:rFonts w:asciiTheme="minorHAnsi" w:eastAsiaTheme="minorEastAsia" w:hAnsi="Calibri" w:cstheme="minorBidi"/>
          <w:color w:val="000000" w:themeColor="text1"/>
          <w:kern w:val="24"/>
          <w:sz w:val="22"/>
          <w:szCs w:val="22"/>
        </w:rPr>
        <w:t>,</w:t>
      </w:r>
      <w:r w:rsidRPr="00B205FC">
        <w:rPr>
          <w:rFonts w:asciiTheme="minorHAnsi" w:eastAsiaTheme="minorEastAsia" w:hAnsi="Calibri" w:cstheme="minorBidi"/>
          <w:color w:val="000000" w:themeColor="text1"/>
          <w:kern w:val="24"/>
          <w:sz w:val="22"/>
          <w:szCs w:val="22"/>
        </w:rPr>
        <w:t xml:space="preserve"> as well as the loyalty, support, and contribution</w:t>
      </w:r>
      <w:r>
        <w:rPr>
          <w:rFonts w:asciiTheme="minorHAnsi" w:eastAsiaTheme="minorEastAsia" w:hAnsi="Calibri" w:cstheme="minorBidi"/>
          <w:color w:val="000000" w:themeColor="text1"/>
          <w:kern w:val="24"/>
          <w:sz w:val="22"/>
          <w:szCs w:val="22"/>
        </w:rPr>
        <w:t xml:space="preserve"> of</w:t>
      </w:r>
      <w:r w:rsidRPr="00B205FC">
        <w:rPr>
          <w:rFonts w:asciiTheme="minorHAnsi" w:eastAsiaTheme="minorEastAsia" w:hAnsi="Calibri" w:cstheme="minorBidi"/>
          <w:color w:val="000000" w:themeColor="text1"/>
          <w:kern w:val="24"/>
          <w:sz w:val="22"/>
          <w:szCs w:val="22"/>
        </w:rPr>
        <w:t xml:space="preserve"> alumni and supporters of the community college</w:t>
      </w:r>
      <w:r>
        <w:rPr>
          <w:rFonts w:asciiTheme="minorHAnsi" w:eastAsiaTheme="minorEastAsia" w:hAnsi="Calibri" w:cstheme="minorBidi"/>
          <w:color w:val="000000" w:themeColor="text1"/>
          <w:kern w:val="24"/>
          <w:sz w:val="22"/>
          <w:szCs w:val="22"/>
        </w:rPr>
        <w:t>?</w:t>
      </w:r>
    </w:p>
    <w:p w:rsidR="009F4779" w:rsidRDefault="009F4779" w:rsidP="0093426A">
      <w:pPr>
        <w:pStyle w:val="NormalWeb"/>
        <w:numPr>
          <w:ilvl w:val="0"/>
          <w:numId w:val="3"/>
        </w:numPr>
        <w:spacing w:before="0" w:beforeAutospacing="0" w:after="0" w:afterAutospacing="0"/>
        <w:ind w:left="2160"/>
        <w:jc w:val="both"/>
        <w:rPr>
          <w:rFonts w:asciiTheme="minorHAnsi" w:eastAsiaTheme="minorEastAsia" w:hAnsi="Calibri" w:cstheme="minorBidi"/>
          <w:color w:val="000000" w:themeColor="text1"/>
          <w:kern w:val="24"/>
          <w:sz w:val="22"/>
          <w:szCs w:val="22"/>
        </w:rPr>
      </w:pPr>
      <w:r w:rsidRPr="001227C4">
        <w:rPr>
          <w:rFonts w:asciiTheme="minorHAnsi" w:eastAsiaTheme="minorEastAsia" w:hAnsi="Calibri" w:cstheme="minorBidi"/>
          <w:color w:val="000000" w:themeColor="text1"/>
          <w:kern w:val="24"/>
          <w:sz w:val="22"/>
          <w:szCs w:val="22"/>
        </w:rPr>
        <w:t xml:space="preserve">Could this type of plan underscore and enhance the work contributions, and aspirations of all who with justified pride, are responsible for the community college? </w:t>
      </w:r>
    </w:p>
    <w:p w:rsidR="00624980" w:rsidRDefault="00624980" w:rsidP="00624980">
      <w:pPr>
        <w:pStyle w:val="NormalWeb"/>
        <w:spacing w:before="0" w:beforeAutospacing="0" w:after="0" w:afterAutospacing="0"/>
        <w:ind w:left="2160"/>
        <w:jc w:val="both"/>
        <w:rPr>
          <w:rFonts w:asciiTheme="minorHAnsi" w:eastAsiaTheme="minorEastAsia" w:hAnsi="Calibri" w:cstheme="minorBidi"/>
          <w:color w:val="000000" w:themeColor="text1"/>
          <w:kern w:val="24"/>
          <w:sz w:val="22"/>
          <w:szCs w:val="22"/>
        </w:rPr>
      </w:pPr>
    </w:p>
    <w:p w:rsidR="00624980" w:rsidRPr="001227C4" w:rsidRDefault="00624980" w:rsidP="00624980">
      <w:pPr>
        <w:pStyle w:val="NormalWeb"/>
        <w:spacing w:before="0" w:beforeAutospacing="0" w:after="0" w:afterAutospacing="0"/>
        <w:ind w:left="2160"/>
        <w:jc w:val="both"/>
        <w:rPr>
          <w:rFonts w:asciiTheme="minorHAnsi" w:eastAsiaTheme="minorEastAsia" w:hAnsi="Calibri" w:cstheme="minorBidi"/>
          <w:color w:val="000000" w:themeColor="text1"/>
          <w:kern w:val="24"/>
          <w:sz w:val="22"/>
          <w:szCs w:val="22"/>
        </w:rPr>
      </w:pPr>
    </w:p>
    <w:p w:rsidR="009F4779" w:rsidRPr="001227C4" w:rsidRDefault="009F4779" w:rsidP="001227C4">
      <w:pPr>
        <w:pStyle w:val="NormalWeb"/>
        <w:numPr>
          <w:ilvl w:val="0"/>
          <w:numId w:val="3"/>
        </w:numPr>
        <w:spacing w:before="0" w:beforeAutospacing="0" w:after="0" w:afterAutospacing="0"/>
        <w:ind w:left="2160"/>
        <w:jc w:val="both"/>
        <w:rPr>
          <w:rFonts w:asciiTheme="minorHAnsi" w:eastAsiaTheme="minorEastAsia" w:hAnsi="Calibri" w:cstheme="minorBidi"/>
          <w:color w:val="000000" w:themeColor="text1"/>
          <w:kern w:val="24"/>
          <w:sz w:val="22"/>
          <w:szCs w:val="22"/>
        </w:rPr>
      </w:pPr>
      <w:r w:rsidRPr="001227C4">
        <w:rPr>
          <w:rFonts w:asciiTheme="minorHAnsi" w:eastAsiaTheme="minorEastAsia" w:hAnsi="Calibri" w:cstheme="minorBidi"/>
          <w:color w:val="000000" w:themeColor="text1"/>
          <w:kern w:val="24"/>
          <w:sz w:val="22"/>
          <w:szCs w:val="22"/>
        </w:rPr>
        <w:lastRenderedPageBreak/>
        <w:t xml:space="preserve">Could it achieve economic growth for the region and for the state of Kansas as it meets increasing enrollments and educational demands without the capital outlay required to start a new institution by incorporating an established institution into WSU? </w:t>
      </w:r>
    </w:p>
    <w:p w:rsidR="00580D3E" w:rsidRDefault="00580D3E" w:rsidP="00580D3E">
      <w:pPr>
        <w:pStyle w:val="NormalWeb"/>
        <w:spacing w:before="0" w:beforeAutospacing="0" w:after="0" w:afterAutospacing="0"/>
        <w:ind w:left="1440"/>
        <w:jc w:val="both"/>
        <w:rPr>
          <w:rFonts w:asciiTheme="minorHAnsi" w:eastAsiaTheme="minorEastAsia" w:hAnsi="Calibri" w:cstheme="minorBidi"/>
          <w:color w:val="000000" w:themeColor="text1"/>
          <w:kern w:val="24"/>
          <w:sz w:val="22"/>
          <w:szCs w:val="22"/>
        </w:rPr>
      </w:pPr>
    </w:p>
    <w:p w:rsidR="009F4779" w:rsidRPr="00DB16C4" w:rsidRDefault="009F4779" w:rsidP="0093426A">
      <w:pPr>
        <w:pStyle w:val="ListParagraph"/>
        <w:numPr>
          <w:ilvl w:val="0"/>
          <w:numId w:val="2"/>
        </w:numPr>
        <w:spacing w:before="0" w:beforeAutospacing="0" w:after="0" w:afterAutospacing="0"/>
        <w:jc w:val="both"/>
        <w:rPr>
          <w:rFonts w:ascii="Calibri" w:hAnsi="Calibri"/>
          <w:b/>
          <w:color w:val="000000"/>
          <w:sz w:val="22"/>
          <w:szCs w:val="22"/>
        </w:rPr>
      </w:pPr>
      <w:r>
        <w:rPr>
          <w:rFonts w:ascii="Calibri" w:hAnsi="Calibri"/>
          <w:b/>
          <w:color w:val="000000"/>
          <w:sz w:val="22"/>
          <w:szCs w:val="22"/>
        </w:rPr>
        <w:t>Ideas to improve, expand and scale Wichita State University’s role to create greater access for higher education for all Kansans.</w:t>
      </w:r>
    </w:p>
    <w:p w:rsidR="009F4779" w:rsidRDefault="009F4779" w:rsidP="0093426A">
      <w:pPr>
        <w:pStyle w:val="ListParagraph"/>
        <w:spacing w:before="0" w:beforeAutospacing="0" w:after="0" w:afterAutospacing="0"/>
        <w:ind w:left="1800"/>
        <w:jc w:val="both"/>
        <w:rPr>
          <w:rFonts w:ascii="Calibri" w:hAnsi="Calibri"/>
          <w:color w:val="000000"/>
          <w:sz w:val="22"/>
          <w:szCs w:val="22"/>
        </w:rPr>
      </w:pPr>
      <w:r>
        <w:rPr>
          <w:rFonts w:ascii="Calibri" w:hAnsi="Calibri"/>
          <w:color w:val="000000"/>
          <w:sz w:val="22"/>
          <w:szCs w:val="22"/>
        </w:rPr>
        <w:t xml:space="preserve">The task force identified opportunities and challenges for the University, with a new model. Additionally, more immediate ideas of ways we could begin to meet the objective of creating greater access for students were discussed. </w:t>
      </w:r>
    </w:p>
    <w:p w:rsidR="009F4779" w:rsidRPr="00E5041B" w:rsidRDefault="009F4779" w:rsidP="009F4779">
      <w:pPr>
        <w:pStyle w:val="ListParagraph"/>
        <w:spacing w:before="0" w:beforeAutospacing="0" w:after="0" w:afterAutospacing="0"/>
        <w:ind w:left="2160" w:hanging="2160"/>
        <w:jc w:val="both"/>
        <w:rPr>
          <w:rFonts w:ascii="Calibri" w:hAnsi="Calibri"/>
          <w:b/>
          <w:color w:val="000000"/>
          <w:sz w:val="22"/>
          <w:szCs w:val="22"/>
        </w:rPr>
      </w:pPr>
      <w:r w:rsidRPr="00E5041B">
        <w:rPr>
          <w:b/>
          <w:color w:val="000000"/>
          <w:sz w:val="14"/>
          <w:szCs w:val="14"/>
        </w:rPr>
        <w:t>                                                              </w:t>
      </w:r>
      <w:r w:rsidRPr="00E5041B">
        <w:rPr>
          <w:rStyle w:val="apple-converted-space"/>
          <w:b/>
          <w:color w:val="000000"/>
          <w:sz w:val="14"/>
          <w:szCs w:val="14"/>
        </w:rPr>
        <w:t> </w:t>
      </w:r>
    </w:p>
    <w:p w:rsidR="009F4779" w:rsidRDefault="009F4779" w:rsidP="00454AA0">
      <w:pPr>
        <w:spacing w:after="0" w:line="240" w:lineRule="exact"/>
        <w:ind w:left="1800"/>
        <w:jc w:val="both"/>
        <w:rPr>
          <w:b/>
          <w:color w:val="000000"/>
        </w:rPr>
      </w:pPr>
      <w:r w:rsidRPr="00E5041B">
        <w:rPr>
          <w:b/>
          <w:color w:val="000000"/>
        </w:rPr>
        <w:t xml:space="preserve">Recommendation:  Continue to </w:t>
      </w:r>
      <w:r>
        <w:rPr>
          <w:b/>
          <w:color w:val="000000"/>
        </w:rPr>
        <w:t>explore, expand and prioritize</w:t>
      </w:r>
      <w:r w:rsidRPr="00E5041B">
        <w:rPr>
          <w:b/>
          <w:color w:val="000000"/>
        </w:rPr>
        <w:t xml:space="preserve"> the opportunities, challenges and </w:t>
      </w:r>
      <w:r>
        <w:rPr>
          <w:b/>
          <w:color w:val="000000"/>
        </w:rPr>
        <w:t>more immediate actionable items identified.</w:t>
      </w:r>
    </w:p>
    <w:p w:rsidR="00413F53" w:rsidRPr="00E5041B" w:rsidRDefault="00413F53" w:rsidP="00454AA0">
      <w:pPr>
        <w:spacing w:after="0" w:line="240" w:lineRule="exact"/>
        <w:ind w:left="1800"/>
        <w:jc w:val="both"/>
        <w:rPr>
          <w:b/>
          <w:color w:val="000000"/>
        </w:rPr>
      </w:pPr>
    </w:p>
    <w:p w:rsidR="009F4779" w:rsidRDefault="009F4779" w:rsidP="00454AA0">
      <w:pPr>
        <w:spacing w:after="120" w:line="240" w:lineRule="auto"/>
        <w:ind w:left="1800"/>
        <w:jc w:val="both"/>
        <w:rPr>
          <w:color w:val="000000"/>
        </w:rPr>
      </w:pPr>
      <w:r>
        <w:rPr>
          <w:color w:val="000000"/>
        </w:rPr>
        <w:t>P</w:t>
      </w:r>
      <w:r w:rsidRPr="00891378">
        <w:rPr>
          <w:color w:val="000000"/>
        </w:rPr>
        <w:t>riorities</w:t>
      </w:r>
      <w:r>
        <w:rPr>
          <w:color w:val="000000"/>
        </w:rPr>
        <w:t xml:space="preserve"> and guiding principles</w:t>
      </w:r>
      <w:r w:rsidRPr="00891378">
        <w:rPr>
          <w:color w:val="000000"/>
        </w:rPr>
        <w:t xml:space="preserve"> for continued work on this project may include the following:</w:t>
      </w:r>
    </w:p>
    <w:p w:rsidR="009F4779" w:rsidRPr="00D5620E" w:rsidRDefault="009F4779" w:rsidP="00454AA0">
      <w:pPr>
        <w:pStyle w:val="ListParagraph"/>
        <w:numPr>
          <w:ilvl w:val="0"/>
          <w:numId w:val="4"/>
        </w:numPr>
        <w:spacing w:before="0" w:beforeAutospacing="0" w:after="0" w:afterAutospacing="0"/>
        <w:ind w:left="2160"/>
        <w:jc w:val="both"/>
        <w:rPr>
          <w:rFonts w:ascii="Calibri" w:hAnsi="Calibri"/>
          <w:color w:val="000000"/>
          <w:sz w:val="22"/>
          <w:szCs w:val="22"/>
        </w:rPr>
      </w:pPr>
      <w:r w:rsidRPr="00D5620E">
        <w:rPr>
          <w:rFonts w:ascii="Calibri" w:hAnsi="Calibri"/>
          <w:color w:val="000000"/>
          <w:sz w:val="22"/>
          <w:szCs w:val="22"/>
        </w:rPr>
        <w:t>Relationship building and common respect for all involve</w:t>
      </w:r>
      <w:r>
        <w:rPr>
          <w:rFonts w:ascii="Calibri" w:hAnsi="Calibri"/>
          <w:color w:val="000000"/>
          <w:sz w:val="22"/>
          <w:szCs w:val="22"/>
        </w:rPr>
        <w:t>d in conversations</w:t>
      </w:r>
      <w:r w:rsidR="00447329">
        <w:rPr>
          <w:rFonts w:ascii="Calibri" w:hAnsi="Calibri"/>
          <w:color w:val="000000"/>
          <w:sz w:val="22"/>
          <w:szCs w:val="22"/>
        </w:rPr>
        <w:t xml:space="preserve"> focusing on</w:t>
      </w:r>
      <w:r>
        <w:rPr>
          <w:rFonts w:ascii="Calibri" w:hAnsi="Calibri"/>
          <w:color w:val="000000"/>
          <w:sz w:val="22"/>
          <w:szCs w:val="22"/>
        </w:rPr>
        <w:t xml:space="preserve"> </w:t>
      </w:r>
      <w:r w:rsidR="00447329">
        <w:rPr>
          <w:rFonts w:ascii="Calibri" w:hAnsi="Calibri"/>
          <w:color w:val="000000"/>
          <w:sz w:val="22"/>
          <w:szCs w:val="22"/>
        </w:rPr>
        <w:t>providing greater access to higher education and more affordability</w:t>
      </w:r>
    </w:p>
    <w:p w:rsidR="009F4779"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Calibri" w:hAnsi="Calibri"/>
          <w:color w:val="000000"/>
          <w:sz w:val="22"/>
          <w:szCs w:val="22"/>
        </w:rPr>
        <w:t>Continuation of the efforts to improve the % of FASFA completions within USD259</w:t>
      </w:r>
    </w:p>
    <w:p w:rsidR="009F4779" w:rsidRPr="00D5620E"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Theme="minorHAnsi" w:hAnsiTheme="minorHAnsi" w:cstheme="minorHAnsi"/>
          <w:sz w:val="22"/>
          <w:szCs w:val="22"/>
        </w:rPr>
        <w:t>Focus on the recruitment</w:t>
      </w:r>
      <w:r>
        <w:t xml:space="preserve"> of </w:t>
      </w:r>
      <w:r>
        <w:rPr>
          <w:rFonts w:asciiTheme="minorHAnsi" w:hAnsiTheme="minorHAnsi" w:cstheme="minorHAnsi"/>
          <w:sz w:val="22"/>
          <w:szCs w:val="22"/>
        </w:rPr>
        <w:t>high school students dually enrolled at WSU Tech to WSU</w:t>
      </w:r>
    </w:p>
    <w:p w:rsidR="009F4779" w:rsidRPr="00D5620E"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Theme="minorHAnsi" w:hAnsiTheme="minorHAnsi" w:cstheme="minorHAnsi"/>
          <w:sz w:val="22"/>
          <w:szCs w:val="22"/>
        </w:rPr>
        <w:t>Provide educational and academic progression to where you live, creating greater access across Kansas</w:t>
      </w:r>
    </w:p>
    <w:p w:rsidR="009F4779" w:rsidRPr="00D5620E"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Theme="minorHAnsi" w:hAnsiTheme="minorHAnsi" w:cstheme="minorHAnsi"/>
          <w:sz w:val="22"/>
          <w:szCs w:val="22"/>
        </w:rPr>
        <w:t xml:space="preserve">Host a </w:t>
      </w:r>
      <w:r w:rsidR="00413F53">
        <w:rPr>
          <w:rFonts w:asciiTheme="minorHAnsi" w:hAnsiTheme="minorHAnsi" w:cstheme="minorHAnsi"/>
          <w:sz w:val="22"/>
          <w:szCs w:val="22"/>
        </w:rPr>
        <w:t>statewide</w:t>
      </w:r>
      <w:r>
        <w:rPr>
          <w:rFonts w:asciiTheme="minorHAnsi" w:hAnsiTheme="minorHAnsi" w:cstheme="minorHAnsi"/>
          <w:sz w:val="22"/>
          <w:szCs w:val="22"/>
        </w:rPr>
        <w:t xml:space="preserve"> meeting of superintendents and KDOE administrators</w:t>
      </w:r>
    </w:p>
    <w:p w:rsidR="009F4779" w:rsidRPr="00D5620E"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Theme="minorHAnsi" w:hAnsiTheme="minorHAnsi" w:cstheme="minorHAnsi"/>
          <w:sz w:val="22"/>
          <w:szCs w:val="22"/>
        </w:rPr>
        <w:t>Create opportunity for seamless dual branding between WSU Tech/WSU, high schools and other educational institutions</w:t>
      </w:r>
    </w:p>
    <w:p w:rsidR="009F4779" w:rsidRPr="00D5620E"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Theme="minorHAnsi" w:hAnsiTheme="minorHAnsi" w:cstheme="minorHAnsi"/>
          <w:sz w:val="22"/>
          <w:szCs w:val="22"/>
        </w:rPr>
        <w:t>Create more educational pathways with rural high schools</w:t>
      </w:r>
    </w:p>
    <w:p w:rsidR="009F4779" w:rsidRPr="00D5620E"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Theme="minorHAnsi" w:hAnsiTheme="minorHAnsi" w:cstheme="minorHAnsi"/>
          <w:sz w:val="22"/>
          <w:szCs w:val="22"/>
        </w:rPr>
        <w:t>Partner on educational advanced degree pathways for career technical students</w:t>
      </w:r>
    </w:p>
    <w:p w:rsidR="009F4779" w:rsidRPr="00447329"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Theme="minorHAnsi" w:hAnsiTheme="minorHAnsi" w:cstheme="minorHAnsi"/>
          <w:sz w:val="22"/>
          <w:szCs w:val="22"/>
        </w:rPr>
        <w:t>Be more entrepreneurial in our approach to expand applied learning, creating opportunities with employers across South Central Kansas to engage with students and consider a public/private partnership to meet employer needs for training, work based learning, apprenticeships, and employment.</w:t>
      </w:r>
    </w:p>
    <w:p w:rsidR="00447329" w:rsidRPr="00D5620E" w:rsidRDefault="00447329" w:rsidP="00454AA0">
      <w:pPr>
        <w:pStyle w:val="ListParagraph"/>
        <w:numPr>
          <w:ilvl w:val="0"/>
          <w:numId w:val="4"/>
        </w:numPr>
        <w:spacing w:after="0" w:afterAutospacing="0"/>
        <w:ind w:left="2160"/>
        <w:jc w:val="both"/>
        <w:rPr>
          <w:rFonts w:ascii="Calibri" w:hAnsi="Calibri"/>
          <w:color w:val="000000"/>
          <w:sz w:val="22"/>
          <w:szCs w:val="22"/>
        </w:rPr>
      </w:pPr>
      <w:r>
        <w:rPr>
          <w:rFonts w:asciiTheme="minorHAnsi" w:hAnsiTheme="minorHAnsi" w:cstheme="minorHAnsi"/>
          <w:sz w:val="22"/>
          <w:szCs w:val="22"/>
        </w:rPr>
        <w:t>Recruit and retain talent in Kansas</w:t>
      </w:r>
    </w:p>
    <w:p w:rsidR="009F4779" w:rsidRPr="00063C7F" w:rsidRDefault="009F4779" w:rsidP="00454AA0">
      <w:pPr>
        <w:pStyle w:val="ListParagraph"/>
        <w:numPr>
          <w:ilvl w:val="0"/>
          <w:numId w:val="4"/>
        </w:numPr>
        <w:spacing w:after="0" w:afterAutospacing="0"/>
        <w:ind w:left="2160"/>
        <w:jc w:val="both"/>
        <w:rPr>
          <w:rFonts w:ascii="Calibri" w:hAnsi="Calibri"/>
          <w:color w:val="000000"/>
          <w:sz w:val="22"/>
          <w:szCs w:val="22"/>
        </w:rPr>
      </w:pPr>
      <w:r w:rsidRPr="00063C7F">
        <w:rPr>
          <w:rFonts w:asciiTheme="minorHAnsi" w:hAnsiTheme="minorHAnsi" w:cstheme="minorHAnsi"/>
          <w:sz w:val="22"/>
          <w:szCs w:val="22"/>
        </w:rPr>
        <w:t>Build a sense of community as we take this concept to rural communities</w:t>
      </w:r>
    </w:p>
    <w:p w:rsidR="009F4779" w:rsidRPr="00D5620E"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Theme="minorHAnsi" w:hAnsiTheme="minorHAnsi" w:cstheme="minorHAnsi"/>
          <w:sz w:val="22"/>
          <w:szCs w:val="22"/>
        </w:rPr>
        <w:t>Create key strategies for higher education partnerships following the criticalities as a result of the pandemic</w:t>
      </w:r>
      <w:r w:rsidR="00447329">
        <w:rPr>
          <w:rFonts w:asciiTheme="minorHAnsi" w:hAnsiTheme="minorHAnsi" w:cstheme="minorHAnsi"/>
          <w:sz w:val="22"/>
          <w:szCs w:val="22"/>
        </w:rPr>
        <w:t xml:space="preserve"> that build enrollments and potentially reduce operating costs</w:t>
      </w:r>
    </w:p>
    <w:p w:rsidR="009F4779" w:rsidRDefault="009F4779" w:rsidP="00454AA0">
      <w:pPr>
        <w:pStyle w:val="ListParagraph"/>
        <w:numPr>
          <w:ilvl w:val="0"/>
          <w:numId w:val="4"/>
        </w:numPr>
        <w:spacing w:after="0" w:afterAutospacing="0"/>
        <w:ind w:left="2160"/>
        <w:jc w:val="both"/>
        <w:rPr>
          <w:rFonts w:ascii="Calibri" w:hAnsi="Calibri"/>
          <w:color w:val="000000"/>
          <w:sz w:val="22"/>
          <w:szCs w:val="22"/>
        </w:rPr>
      </w:pPr>
      <w:r>
        <w:rPr>
          <w:rFonts w:ascii="Calibri" w:hAnsi="Calibri"/>
          <w:color w:val="000000"/>
          <w:sz w:val="22"/>
          <w:szCs w:val="22"/>
        </w:rPr>
        <w:t>Provide opportunity for tuition assistance for families of students whose household incomes are below $40,000</w:t>
      </w:r>
    </w:p>
    <w:p w:rsidR="009F4779" w:rsidRPr="00D5620E" w:rsidRDefault="009F4779" w:rsidP="00454AA0">
      <w:pPr>
        <w:pStyle w:val="ListParagraph"/>
        <w:numPr>
          <w:ilvl w:val="0"/>
          <w:numId w:val="4"/>
        </w:numPr>
        <w:spacing w:after="0" w:afterAutospacing="0"/>
        <w:ind w:left="2160"/>
        <w:jc w:val="both"/>
        <w:rPr>
          <w:rFonts w:ascii="Calibri" w:hAnsi="Calibri"/>
          <w:color w:val="000000"/>
          <w:sz w:val="22"/>
          <w:szCs w:val="22"/>
        </w:rPr>
      </w:pPr>
      <w:r w:rsidRPr="002B38DA">
        <w:rPr>
          <w:rFonts w:ascii="Calibri" w:hAnsi="Calibri"/>
          <w:color w:val="000000"/>
          <w:sz w:val="22"/>
          <w:szCs w:val="22"/>
        </w:rPr>
        <w:t>Focus on building a model that provides a win/win for students, the community, educational institutions involved and the University</w:t>
      </w:r>
      <w:r w:rsidR="00447329">
        <w:rPr>
          <w:rFonts w:ascii="Calibri" w:hAnsi="Calibri"/>
          <w:color w:val="000000"/>
          <w:sz w:val="22"/>
          <w:szCs w:val="22"/>
        </w:rPr>
        <w:t xml:space="preserve"> creating impactful opportunities to better prepare our graduates</w:t>
      </w:r>
    </w:p>
    <w:p w:rsidR="00642B15" w:rsidRDefault="00642B15" w:rsidP="00642B15">
      <w:pPr>
        <w:spacing w:after="0" w:line="240" w:lineRule="auto"/>
        <w:jc w:val="both"/>
        <w:rPr>
          <w:rFonts w:ascii="Palatino Linotype" w:hAnsi="Palatino Linotype"/>
          <w:sz w:val="24"/>
          <w:szCs w:val="24"/>
        </w:rPr>
      </w:pPr>
    </w:p>
    <w:p w:rsidR="0087510F" w:rsidRPr="0087510F" w:rsidRDefault="0087510F" w:rsidP="00642B15">
      <w:pPr>
        <w:spacing w:after="0" w:line="240" w:lineRule="auto"/>
        <w:jc w:val="both"/>
        <w:rPr>
          <w:rFonts w:asciiTheme="minorHAnsi" w:hAnsiTheme="minorHAnsi" w:cstheme="minorHAnsi"/>
        </w:rPr>
      </w:pPr>
    </w:p>
    <w:p w:rsidR="00642B15" w:rsidRDefault="00642B15" w:rsidP="0087510F">
      <w:pPr>
        <w:spacing w:after="0" w:line="120" w:lineRule="exact"/>
        <w:jc w:val="both"/>
        <w:rPr>
          <w:rFonts w:ascii="Palatino Linotype" w:hAnsi="Palatino Linotype"/>
          <w:sz w:val="24"/>
          <w:szCs w:val="24"/>
        </w:rPr>
      </w:pPr>
    </w:p>
    <w:p w:rsidR="00642B15" w:rsidRDefault="00642B15" w:rsidP="00642B15">
      <w:pPr>
        <w:spacing w:after="0" w:line="240" w:lineRule="auto"/>
        <w:jc w:val="both"/>
        <w:rPr>
          <w:rFonts w:ascii="Palatino Linotype" w:hAnsi="Palatino Linotype"/>
          <w:sz w:val="24"/>
          <w:szCs w:val="24"/>
        </w:rPr>
      </w:pPr>
    </w:p>
    <w:sectPr w:rsidR="00642B15" w:rsidSect="0091099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BC3" w:rsidRDefault="009D1BC3" w:rsidP="0091099F">
      <w:r>
        <w:separator/>
      </w:r>
    </w:p>
  </w:endnote>
  <w:endnote w:type="continuationSeparator" w:id="0">
    <w:p w:rsidR="009D1BC3" w:rsidRDefault="009D1BC3" w:rsidP="0091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BC3" w:rsidRDefault="009D1BC3" w:rsidP="0091099F">
      <w:r>
        <w:separator/>
      </w:r>
    </w:p>
  </w:footnote>
  <w:footnote w:type="continuationSeparator" w:id="0">
    <w:p w:rsidR="009D1BC3" w:rsidRDefault="009D1BC3" w:rsidP="0091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9F" w:rsidRDefault="0091099F" w:rsidP="007E697A">
    <w:pPr>
      <w:pStyle w:val="Header"/>
      <w:tabs>
        <w:tab w:val="clear" w:pos="4680"/>
        <w:tab w:val="clear" w:pos="9360"/>
        <w:tab w:val="left" w:pos="4160"/>
      </w:tabs>
    </w:pPr>
    <w:r>
      <w:rPr>
        <w:noProof/>
      </w:rPr>
      <w:drawing>
        <wp:anchor distT="0" distB="0" distL="114300" distR="114300" simplePos="0" relativeHeight="251658240" behindDoc="1" locked="1" layoutInCell="1" allowOverlap="1" wp14:anchorId="4C2DDEEE" wp14:editId="16CE1BFE">
          <wp:simplePos x="0" y="0"/>
          <wp:positionH relativeFrom="page">
            <wp:align>center</wp:align>
          </wp:positionH>
          <wp:positionV relativeFrom="page">
            <wp:align>center</wp:align>
          </wp:positionV>
          <wp:extent cx="782701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U Tech Letterhead-01.jpg"/>
                  <pic:cNvPicPr/>
                </pic:nvPicPr>
                <pic:blipFill>
                  <a:blip r:embed="rId1">
                    <a:extLst>
                      <a:ext uri="{28A0092B-C50C-407E-A947-70E740481C1C}">
                        <a14:useLocalDpi xmlns:a14="http://schemas.microsoft.com/office/drawing/2010/main" val="0"/>
                      </a:ext>
                    </a:extLst>
                  </a:blip>
                  <a:stretch>
                    <a:fillRect/>
                  </a:stretch>
                </pic:blipFill>
                <pic:spPr>
                  <a:xfrm>
                    <a:off x="0" y="0"/>
                    <a:ext cx="7823862" cy="10058400"/>
                  </a:xfrm>
                  <a:prstGeom prst="rect">
                    <a:avLst/>
                  </a:prstGeom>
                </pic:spPr>
              </pic:pic>
            </a:graphicData>
          </a:graphic>
          <wp14:sizeRelH relativeFrom="margin">
            <wp14:pctWidth>0</wp14:pctWidth>
          </wp14:sizeRelH>
          <wp14:sizeRelV relativeFrom="margin">
            <wp14:pctHeight>0</wp14:pctHeight>
          </wp14:sizeRelV>
        </wp:anchor>
      </w:drawing>
    </w:r>
    <w:r w:rsidR="007E697A">
      <w:tab/>
    </w:r>
  </w:p>
  <w:p w:rsidR="0091099F" w:rsidRDefault="00910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ABA"/>
    <w:multiLevelType w:val="hybridMultilevel"/>
    <w:tmpl w:val="58F4EE04"/>
    <w:lvl w:ilvl="0" w:tplc="F146CC26">
      <w:start w:val="1"/>
      <w:numFmt w:val="upperRoman"/>
      <w:lvlText w:val="%1."/>
      <w:lvlJc w:val="left"/>
      <w:pPr>
        <w:ind w:left="1800" w:hanging="720"/>
      </w:pPr>
      <w:rPr>
        <w:rFonts w:hint="default"/>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3148A7"/>
    <w:multiLevelType w:val="hybridMultilevel"/>
    <w:tmpl w:val="0FE07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436C05"/>
    <w:multiLevelType w:val="hybridMultilevel"/>
    <w:tmpl w:val="B054F22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67285"/>
    <w:multiLevelType w:val="multilevel"/>
    <w:tmpl w:val="525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9F"/>
    <w:rsid w:val="000108EC"/>
    <w:rsid w:val="000457BD"/>
    <w:rsid w:val="000624F1"/>
    <w:rsid w:val="00066D8F"/>
    <w:rsid w:val="00084260"/>
    <w:rsid w:val="000C51B8"/>
    <w:rsid w:val="001100CF"/>
    <w:rsid w:val="001227C4"/>
    <w:rsid w:val="001559AD"/>
    <w:rsid w:val="00190676"/>
    <w:rsid w:val="001B7BAB"/>
    <w:rsid w:val="00221CB3"/>
    <w:rsid w:val="00253D36"/>
    <w:rsid w:val="002B61FB"/>
    <w:rsid w:val="002C30FB"/>
    <w:rsid w:val="002E1F54"/>
    <w:rsid w:val="002E3102"/>
    <w:rsid w:val="002E36B0"/>
    <w:rsid w:val="002E59D6"/>
    <w:rsid w:val="00304656"/>
    <w:rsid w:val="00336AC2"/>
    <w:rsid w:val="003C4109"/>
    <w:rsid w:val="003C4C1C"/>
    <w:rsid w:val="003F14D4"/>
    <w:rsid w:val="00407ED4"/>
    <w:rsid w:val="00413F53"/>
    <w:rsid w:val="00426D68"/>
    <w:rsid w:val="00447329"/>
    <w:rsid w:val="00454587"/>
    <w:rsid w:val="00454AA0"/>
    <w:rsid w:val="004E59ED"/>
    <w:rsid w:val="00580D3E"/>
    <w:rsid w:val="005A7109"/>
    <w:rsid w:val="005E0A9B"/>
    <w:rsid w:val="005F5D94"/>
    <w:rsid w:val="00624980"/>
    <w:rsid w:val="00642B15"/>
    <w:rsid w:val="00645125"/>
    <w:rsid w:val="00666765"/>
    <w:rsid w:val="006A6079"/>
    <w:rsid w:val="006C26D5"/>
    <w:rsid w:val="006D455D"/>
    <w:rsid w:val="00702EB4"/>
    <w:rsid w:val="00717709"/>
    <w:rsid w:val="007346CF"/>
    <w:rsid w:val="007A3291"/>
    <w:rsid w:val="007A5813"/>
    <w:rsid w:val="007D4595"/>
    <w:rsid w:val="007E0FC0"/>
    <w:rsid w:val="007E15B9"/>
    <w:rsid w:val="007E551D"/>
    <w:rsid w:val="007E697A"/>
    <w:rsid w:val="00826FB6"/>
    <w:rsid w:val="0086378F"/>
    <w:rsid w:val="0087510F"/>
    <w:rsid w:val="00890827"/>
    <w:rsid w:val="008A757B"/>
    <w:rsid w:val="008C436B"/>
    <w:rsid w:val="008D0955"/>
    <w:rsid w:val="008E1CFA"/>
    <w:rsid w:val="0091099F"/>
    <w:rsid w:val="0093426A"/>
    <w:rsid w:val="00945B97"/>
    <w:rsid w:val="00953D1C"/>
    <w:rsid w:val="00961ABA"/>
    <w:rsid w:val="00987F8A"/>
    <w:rsid w:val="009B1901"/>
    <w:rsid w:val="009B4DE4"/>
    <w:rsid w:val="009D1BC3"/>
    <w:rsid w:val="009F4779"/>
    <w:rsid w:val="00A338EB"/>
    <w:rsid w:val="00A46F0C"/>
    <w:rsid w:val="00AC5BC3"/>
    <w:rsid w:val="00AD2C8F"/>
    <w:rsid w:val="00B16D63"/>
    <w:rsid w:val="00B24275"/>
    <w:rsid w:val="00B56AA9"/>
    <w:rsid w:val="00B82BE7"/>
    <w:rsid w:val="00B82FBF"/>
    <w:rsid w:val="00B93F9E"/>
    <w:rsid w:val="00BB2B83"/>
    <w:rsid w:val="00BD0CE8"/>
    <w:rsid w:val="00BD0D6F"/>
    <w:rsid w:val="00C04F85"/>
    <w:rsid w:val="00C11CDE"/>
    <w:rsid w:val="00C27D83"/>
    <w:rsid w:val="00C9293A"/>
    <w:rsid w:val="00C9365F"/>
    <w:rsid w:val="00C93CE3"/>
    <w:rsid w:val="00CB647E"/>
    <w:rsid w:val="00CE3789"/>
    <w:rsid w:val="00CE537F"/>
    <w:rsid w:val="00CF169C"/>
    <w:rsid w:val="00CF2D4D"/>
    <w:rsid w:val="00CF3547"/>
    <w:rsid w:val="00D07D93"/>
    <w:rsid w:val="00D141CF"/>
    <w:rsid w:val="00D279D9"/>
    <w:rsid w:val="00D35822"/>
    <w:rsid w:val="00D86698"/>
    <w:rsid w:val="00DD5569"/>
    <w:rsid w:val="00E2647D"/>
    <w:rsid w:val="00E51107"/>
    <w:rsid w:val="00E916E4"/>
    <w:rsid w:val="00E92A0E"/>
    <w:rsid w:val="00EC4096"/>
    <w:rsid w:val="00EE243F"/>
    <w:rsid w:val="00F058B7"/>
    <w:rsid w:val="00F225DD"/>
    <w:rsid w:val="00F25296"/>
    <w:rsid w:val="00F329D8"/>
    <w:rsid w:val="00F843D4"/>
    <w:rsid w:val="00F96F48"/>
    <w:rsid w:val="00FE0B04"/>
    <w:rsid w:val="00FE19F3"/>
    <w:rsid w:val="00FF122E"/>
    <w:rsid w:val="00FF428D"/>
    <w:rsid w:val="00FF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A39BC97-F39A-B84E-A116-DA0B5CAB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9D9"/>
    <w:pPr>
      <w:spacing w:after="200" w:line="276"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99F"/>
    <w:pPr>
      <w:tabs>
        <w:tab w:val="center" w:pos="4680"/>
        <w:tab w:val="right" w:pos="9360"/>
      </w:tabs>
    </w:pPr>
  </w:style>
  <w:style w:type="character" w:customStyle="1" w:styleId="HeaderChar">
    <w:name w:val="Header Char"/>
    <w:basedOn w:val="DefaultParagraphFont"/>
    <w:link w:val="Header"/>
    <w:uiPriority w:val="99"/>
    <w:rsid w:val="0091099F"/>
  </w:style>
  <w:style w:type="paragraph" w:styleId="Footer">
    <w:name w:val="footer"/>
    <w:basedOn w:val="Normal"/>
    <w:link w:val="FooterChar"/>
    <w:uiPriority w:val="99"/>
    <w:unhideWhenUsed/>
    <w:rsid w:val="0091099F"/>
    <w:pPr>
      <w:tabs>
        <w:tab w:val="center" w:pos="4680"/>
        <w:tab w:val="right" w:pos="9360"/>
      </w:tabs>
    </w:pPr>
  </w:style>
  <w:style w:type="character" w:customStyle="1" w:styleId="FooterChar">
    <w:name w:val="Footer Char"/>
    <w:basedOn w:val="DefaultParagraphFont"/>
    <w:link w:val="Footer"/>
    <w:uiPriority w:val="99"/>
    <w:rsid w:val="0091099F"/>
  </w:style>
  <w:style w:type="character" w:styleId="Hyperlink">
    <w:name w:val="Hyperlink"/>
    <w:basedOn w:val="DefaultParagraphFont"/>
    <w:uiPriority w:val="99"/>
    <w:unhideWhenUsed/>
    <w:rsid w:val="003C4C1C"/>
    <w:rPr>
      <w:color w:val="0000FF" w:themeColor="hyperlink"/>
      <w:u w:val="single"/>
    </w:rPr>
  </w:style>
  <w:style w:type="paragraph" w:styleId="BalloonText">
    <w:name w:val="Balloon Text"/>
    <w:basedOn w:val="Normal"/>
    <w:link w:val="BalloonTextChar"/>
    <w:uiPriority w:val="99"/>
    <w:semiHidden/>
    <w:unhideWhenUsed/>
    <w:rsid w:val="00945B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5B97"/>
    <w:rPr>
      <w:rFonts w:ascii="Times New Roman" w:hAnsi="Times New Roman" w:cs="Times New Roman"/>
      <w:sz w:val="18"/>
      <w:szCs w:val="18"/>
    </w:rPr>
  </w:style>
  <w:style w:type="character" w:styleId="Strong">
    <w:name w:val="Strong"/>
    <w:basedOn w:val="DefaultParagraphFont"/>
    <w:uiPriority w:val="22"/>
    <w:qFormat/>
    <w:rsid w:val="00945B97"/>
    <w:rPr>
      <w:b/>
      <w:bCs/>
    </w:rPr>
  </w:style>
  <w:style w:type="character" w:customStyle="1" w:styleId="UnresolvedMention1">
    <w:name w:val="Unresolved Mention1"/>
    <w:basedOn w:val="DefaultParagraphFont"/>
    <w:uiPriority w:val="99"/>
    <w:rsid w:val="00C9365F"/>
    <w:rPr>
      <w:color w:val="605E5C"/>
      <w:shd w:val="clear" w:color="auto" w:fill="E1DFDD"/>
    </w:rPr>
  </w:style>
  <w:style w:type="character" w:customStyle="1" w:styleId="apple-converted-space">
    <w:name w:val="apple-converted-space"/>
    <w:basedOn w:val="DefaultParagraphFont"/>
    <w:rsid w:val="00A338EB"/>
  </w:style>
  <w:style w:type="character" w:styleId="Emphasis">
    <w:name w:val="Emphasis"/>
    <w:basedOn w:val="DefaultParagraphFont"/>
    <w:uiPriority w:val="20"/>
    <w:qFormat/>
    <w:rsid w:val="00A338EB"/>
    <w:rPr>
      <w:i/>
      <w:iCs/>
    </w:rPr>
  </w:style>
  <w:style w:type="paragraph" w:styleId="NoSpacing">
    <w:name w:val="No Spacing"/>
    <w:uiPriority w:val="1"/>
    <w:qFormat/>
    <w:rsid w:val="00F225DD"/>
    <w:rPr>
      <w:sz w:val="22"/>
      <w:szCs w:val="22"/>
    </w:rPr>
  </w:style>
  <w:style w:type="paragraph" w:styleId="ListParagraph">
    <w:name w:val="List Paragraph"/>
    <w:basedOn w:val="Normal"/>
    <w:uiPriority w:val="34"/>
    <w:qFormat/>
    <w:rsid w:val="009F4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F47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30088">
      <w:bodyDiv w:val="1"/>
      <w:marLeft w:val="0"/>
      <w:marRight w:val="0"/>
      <w:marTop w:val="0"/>
      <w:marBottom w:val="0"/>
      <w:divBdr>
        <w:top w:val="none" w:sz="0" w:space="0" w:color="auto"/>
        <w:left w:val="none" w:sz="0" w:space="0" w:color="auto"/>
        <w:bottom w:val="none" w:sz="0" w:space="0" w:color="auto"/>
        <w:right w:val="none" w:sz="0" w:space="0" w:color="auto"/>
      </w:divBdr>
    </w:div>
    <w:div w:id="660281883">
      <w:bodyDiv w:val="1"/>
      <w:marLeft w:val="0"/>
      <w:marRight w:val="0"/>
      <w:marTop w:val="0"/>
      <w:marBottom w:val="0"/>
      <w:divBdr>
        <w:top w:val="none" w:sz="0" w:space="0" w:color="auto"/>
        <w:left w:val="none" w:sz="0" w:space="0" w:color="auto"/>
        <w:bottom w:val="none" w:sz="0" w:space="0" w:color="auto"/>
        <w:right w:val="none" w:sz="0" w:space="0" w:color="auto"/>
      </w:divBdr>
    </w:div>
    <w:div w:id="664628127">
      <w:bodyDiv w:val="1"/>
      <w:marLeft w:val="0"/>
      <w:marRight w:val="0"/>
      <w:marTop w:val="0"/>
      <w:marBottom w:val="0"/>
      <w:divBdr>
        <w:top w:val="none" w:sz="0" w:space="0" w:color="auto"/>
        <w:left w:val="none" w:sz="0" w:space="0" w:color="auto"/>
        <w:bottom w:val="none" w:sz="0" w:space="0" w:color="auto"/>
        <w:right w:val="none" w:sz="0" w:space="0" w:color="auto"/>
      </w:divBdr>
    </w:div>
    <w:div w:id="1132748153">
      <w:bodyDiv w:val="1"/>
      <w:marLeft w:val="0"/>
      <w:marRight w:val="0"/>
      <w:marTop w:val="0"/>
      <w:marBottom w:val="0"/>
      <w:divBdr>
        <w:top w:val="none" w:sz="0" w:space="0" w:color="auto"/>
        <w:left w:val="none" w:sz="0" w:space="0" w:color="auto"/>
        <w:bottom w:val="none" w:sz="0" w:space="0" w:color="auto"/>
        <w:right w:val="none" w:sz="0" w:space="0" w:color="auto"/>
      </w:divBdr>
    </w:div>
    <w:div w:id="17321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SUTECHMicrosoftTheme">
  <a:themeElements>
    <a:clrScheme name="Custom 1">
      <a:dk1>
        <a:srgbClr val="000000"/>
      </a:dk1>
      <a:lt1>
        <a:srgbClr val="FFFFFF"/>
      </a:lt1>
      <a:dk2>
        <a:srgbClr val="000000"/>
      </a:dk2>
      <a:lt2>
        <a:srgbClr val="FFFFFF"/>
      </a:lt2>
      <a:accent1>
        <a:srgbClr val="FFC317"/>
      </a:accent1>
      <a:accent2>
        <a:srgbClr val="9FA1A2"/>
      </a:accent2>
      <a:accent3>
        <a:srgbClr val="000000"/>
      </a:accent3>
      <a:accent4>
        <a:srgbClr val="FFC317"/>
      </a:accent4>
      <a:accent5>
        <a:srgbClr val="FFFFFF"/>
      </a:accent5>
      <a:accent6>
        <a:srgbClr val="9FA1A2"/>
      </a:accent6>
      <a:hlink>
        <a:srgbClr val="0000FF"/>
      </a:hlink>
      <a:folHlink>
        <a:srgbClr val="84D0F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BF46D-9B3B-444D-9351-70507064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Evans</dc:creator>
  <cp:keywords/>
  <dc:description/>
  <cp:lastModifiedBy>Microsoft Office User</cp:lastModifiedBy>
  <cp:revision>2</cp:revision>
  <cp:lastPrinted>2018-02-23T21:17:00Z</cp:lastPrinted>
  <dcterms:created xsi:type="dcterms:W3CDTF">2020-05-27T14:46:00Z</dcterms:created>
  <dcterms:modified xsi:type="dcterms:W3CDTF">2020-05-27T14:46:00Z</dcterms:modified>
</cp:coreProperties>
</file>