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24485" w14:textId="10A53637" w:rsidR="00F66FCE" w:rsidRPr="00F468BB" w:rsidRDefault="00726AF6" w:rsidP="001C3DE2">
      <w:pPr>
        <w:pStyle w:val="Heading1"/>
        <w:rPr>
          <w:rFonts w:asciiTheme="minorHAnsi" w:hAnsiTheme="minorHAnsi"/>
        </w:rPr>
      </w:pPr>
      <w:r w:rsidRPr="00F468BB">
        <w:rPr>
          <w:rFonts w:asciiTheme="minorHAnsi" w:hAnsiTheme="minorHAnsi"/>
        </w:rPr>
        <w:t>President’s Athletics Task Force</w:t>
      </w:r>
    </w:p>
    <w:p w14:paraId="09162B6D" w14:textId="77777777" w:rsidR="001C3DE2" w:rsidRPr="00F468BB" w:rsidRDefault="001C3DE2" w:rsidP="001C3DE2"/>
    <w:p w14:paraId="5FADC899" w14:textId="483DE4B9" w:rsidR="00726AF6" w:rsidRPr="00620F77" w:rsidRDefault="00BE659E" w:rsidP="00620F77">
      <w:pPr>
        <w:pStyle w:val="Heading2"/>
      </w:pPr>
      <w:r w:rsidRPr="00620F77">
        <w:t>Lacrosse</w:t>
      </w:r>
      <w:r w:rsidR="00726AF6" w:rsidRPr="00620F77">
        <w:t xml:space="preserve"> Subcommittee</w:t>
      </w:r>
    </w:p>
    <w:p w14:paraId="67B5E316" w14:textId="77777777" w:rsidR="00726AF6" w:rsidRPr="00F468BB" w:rsidRDefault="00726AF6" w:rsidP="00726AF6">
      <w:pPr>
        <w:shd w:val="clear" w:color="auto" w:fill="FFFFFF"/>
        <w:tabs>
          <w:tab w:val="num" w:pos="720"/>
        </w:tabs>
        <w:ind w:left="720" w:hanging="360"/>
        <w:rPr>
          <w:rFonts w:cstheme="minorHAnsi"/>
        </w:rPr>
      </w:pPr>
    </w:p>
    <w:p w14:paraId="574D6132" w14:textId="664D732C" w:rsidR="00726AF6" w:rsidRPr="00F468BB" w:rsidRDefault="00726AF6" w:rsidP="00726AF6">
      <w:pPr>
        <w:shd w:val="clear" w:color="auto" w:fill="FFFFFF"/>
        <w:ind w:left="360"/>
        <w:rPr>
          <w:rFonts w:eastAsia="Times New Roman" w:cstheme="minorHAnsi"/>
          <w:color w:val="212121"/>
        </w:rPr>
      </w:pPr>
      <w:r w:rsidRPr="00F468BB">
        <w:rPr>
          <w:rFonts w:eastAsia="Times New Roman" w:cstheme="minorHAnsi"/>
          <w:color w:val="212121"/>
        </w:rPr>
        <w:t xml:space="preserve">As part of the President’s Athletics Task Force, a subcommittee was convened to assess the feasibility of starting a </w:t>
      </w:r>
      <w:r w:rsidR="00850CBC">
        <w:rPr>
          <w:rFonts w:eastAsia="Times New Roman" w:cstheme="minorHAnsi"/>
          <w:color w:val="212121"/>
        </w:rPr>
        <w:t xml:space="preserve">non-varsity club </w:t>
      </w:r>
      <w:r w:rsidR="00BE659E">
        <w:rPr>
          <w:rFonts w:eastAsia="Times New Roman" w:cstheme="minorHAnsi"/>
          <w:color w:val="212121"/>
        </w:rPr>
        <w:t>lacrosse</w:t>
      </w:r>
      <w:r w:rsidRPr="00F468BB">
        <w:rPr>
          <w:rFonts w:eastAsia="Times New Roman" w:cstheme="minorHAnsi"/>
          <w:color w:val="212121"/>
        </w:rPr>
        <w:t xml:space="preserve"> program at Wichita State University.</w:t>
      </w:r>
    </w:p>
    <w:p w14:paraId="2470477E" w14:textId="32F2E917" w:rsidR="00BE659E" w:rsidRDefault="00BE659E" w:rsidP="00DE55B2">
      <w:pPr>
        <w:pStyle w:val="Heading3"/>
        <w:rPr>
          <w:rFonts w:asciiTheme="minorHAnsi" w:hAnsiTheme="minorHAnsi"/>
        </w:rPr>
      </w:pPr>
    </w:p>
    <w:p w14:paraId="2BE4D3C0" w14:textId="049C2FAA" w:rsidR="00620F77" w:rsidRDefault="00620F77" w:rsidP="00620F77"/>
    <w:p w14:paraId="76DD4819" w14:textId="77777777" w:rsidR="00620F77" w:rsidRPr="00620F77" w:rsidRDefault="00620F77" w:rsidP="00620F77"/>
    <w:p w14:paraId="4CA4EC42" w14:textId="43BD761D" w:rsidR="00726AF6" w:rsidRPr="00F468BB" w:rsidRDefault="00F66FCE" w:rsidP="00620F77">
      <w:pPr>
        <w:pStyle w:val="Heading2"/>
        <w:rPr>
          <w:rFonts w:eastAsia="Times New Roman" w:cstheme="minorHAnsi"/>
          <w:color w:val="212121"/>
        </w:rPr>
      </w:pPr>
      <w:r w:rsidRPr="00F468BB">
        <w:t>POSITIVE FACTORS</w:t>
      </w:r>
    </w:p>
    <w:p w14:paraId="476E869E" w14:textId="762F304A" w:rsidR="00726AF6" w:rsidRPr="00F468BB" w:rsidRDefault="00726AF6" w:rsidP="00BE659E">
      <w:pPr>
        <w:shd w:val="clear" w:color="auto" w:fill="FFFFFF"/>
        <w:rPr>
          <w:rFonts w:eastAsia="Times New Roman" w:cstheme="minorHAnsi"/>
          <w:color w:val="212121"/>
        </w:rPr>
      </w:pPr>
    </w:p>
    <w:p w14:paraId="0B5C7F5F" w14:textId="08106E0A" w:rsidR="00726AF6" w:rsidRPr="00F468BB" w:rsidRDefault="00BE659E" w:rsidP="00F66FCE">
      <w:pPr>
        <w:pStyle w:val="Heading3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Infrastructure exists</w:t>
      </w:r>
    </w:p>
    <w:p w14:paraId="4AD3D1F0" w14:textId="3B29B93B" w:rsidR="00726AF6" w:rsidRPr="00F468BB" w:rsidRDefault="00726AF6" w:rsidP="00726AF6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551A0F7E" w14:textId="6CED71CB" w:rsidR="00BE659E" w:rsidRPr="00E804B4" w:rsidRDefault="000620BF" w:rsidP="00850CBC">
      <w:pPr>
        <w:shd w:val="clear" w:color="auto" w:fill="FFFFFF"/>
        <w:ind w:left="360"/>
        <w:rPr>
          <w:rFonts w:ascii="Calibri" w:eastAsia="Times New Roman" w:hAnsi="Calibri" w:cs="Times New Roman"/>
          <w:color w:val="000000"/>
        </w:rPr>
      </w:pPr>
      <w:r w:rsidRPr="00F468BB">
        <w:rPr>
          <w:rFonts w:eastAsia="Times New Roman" w:cstheme="minorHAnsi"/>
          <w:color w:val="212121"/>
        </w:rPr>
        <w:t xml:space="preserve">Wichita </w:t>
      </w:r>
      <w:r w:rsidR="00BE659E">
        <w:rPr>
          <w:rFonts w:eastAsia="Times New Roman" w:cstheme="minorHAnsi"/>
          <w:color w:val="212121"/>
        </w:rPr>
        <w:t xml:space="preserve">State Campus Recreation </w:t>
      </w:r>
      <w:r w:rsidR="00BF37F4">
        <w:rPr>
          <w:rFonts w:eastAsia="Times New Roman" w:cstheme="minorHAnsi"/>
          <w:color w:val="212121"/>
        </w:rPr>
        <w:t>is well</w:t>
      </w:r>
      <w:r w:rsidR="00BE659E">
        <w:rPr>
          <w:rFonts w:eastAsia="Times New Roman" w:cstheme="minorHAnsi"/>
          <w:color w:val="212121"/>
        </w:rPr>
        <w:t xml:space="preserve">-versed in </w:t>
      </w:r>
      <w:r w:rsidR="00BF37F4">
        <w:rPr>
          <w:rFonts w:eastAsia="Times New Roman" w:cstheme="minorHAnsi"/>
          <w:color w:val="212121"/>
        </w:rPr>
        <w:t xml:space="preserve">managing non-varsity </w:t>
      </w:r>
      <w:r w:rsidR="00E804B4">
        <w:rPr>
          <w:rFonts w:eastAsia="Times New Roman" w:cstheme="minorHAnsi"/>
          <w:color w:val="212121"/>
        </w:rPr>
        <w:t>sports clubs</w:t>
      </w:r>
      <w:r w:rsidR="00BE659E">
        <w:rPr>
          <w:rFonts w:eastAsia="Times New Roman" w:cstheme="minorHAnsi"/>
          <w:color w:val="212121"/>
        </w:rPr>
        <w:t xml:space="preserve"> of this type</w:t>
      </w:r>
      <w:r w:rsidR="00C84EA8">
        <w:rPr>
          <w:rFonts w:eastAsia="Times New Roman" w:cstheme="minorHAnsi"/>
          <w:color w:val="212121"/>
        </w:rPr>
        <w:t xml:space="preserve"> </w:t>
      </w:r>
      <w:r w:rsidR="00E804B4">
        <w:rPr>
          <w:rFonts w:eastAsia="Times New Roman" w:cstheme="minorHAnsi"/>
          <w:color w:val="212121"/>
        </w:rPr>
        <w:t xml:space="preserve">and </w:t>
      </w:r>
      <w:r w:rsidR="00BF37F4">
        <w:rPr>
          <w:rFonts w:eastAsia="Times New Roman" w:cstheme="minorHAnsi"/>
          <w:color w:val="212121"/>
        </w:rPr>
        <w:t>maintains</w:t>
      </w:r>
      <w:r w:rsidR="00E804B4">
        <w:rPr>
          <w:rFonts w:ascii="Calibri" w:eastAsia="Times New Roman" w:hAnsi="Calibri" w:cs="Times New Roman"/>
          <w:color w:val="000000"/>
        </w:rPr>
        <w:t xml:space="preserve"> a $30,000 budget line for the university’s 12 existing sports clubs. Campus Rec also manages the lighted playing fields at the Hughes Metropolitan Complex, that could serve as a home for the team until such time as a renovated stadium would open for competition.</w:t>
      </w:r>
    </w:p>
    <w:p w14:paraId="455D5AA1" w14:textId="296AAF8D" w:rsidR="000620BF" w:rsidRPr="00F468BB" w:rsidRDefault="000620BF" w:rsidP="00726AF6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7CDD7EA0" w14:textId="795A2955" w:rsidR="000620BF" w:rsidRPr="00F468BB" w:rsidRDefault="000620BF" w:rsidP="00F66FCE">
      <w:pPr>
        <w:pStyle w:val="Heading3"/>
        <w:rPr>
          <w:rFonts w:asciiTheme="minorHAnsi" w:eastAsia="Times New Roman" w:hAnsiTheme="minorHAnsi"/>
        </w:rPr>
      </w:pPr>
      <w:r w:rsidRPr="00F468BB">
        <w:rPr>
          <w:rFonts w:asciiTheme="minorHAnsi" w:eastAsia="Times New Roman" w:hAnsiTheme="minorHAnsi"/>
        </w:rPr>
        <w:t>Regional Competition Options</w:t>
      </w:r>
    </w:p>
    <w:p w14:paraId="60759398" w14:textId="19AC0DD4" w:rsidR="000620BF" w:rsidRPr="00F468BB" w:rsidRDefault="000620BF" w:rsidP="00726AF6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6FF2DA56" w14:textId="28EBA5C6" w:rsidR="00BE659E" w:rsidRDefault="00BE659E" w:rsidP="00BE659E">
      <w:pPr>
        <w:shd w:val="clear" w:color="auto" w:fill="FFFFFF"/>
        <w:ind w:left="360"/>
        <w:rPr>
          <w:rFonts w:eastAsia="Times New Roman" w:cstheme="minorHAnsi"/>
          <w:color w:val="212121"/>
        </w:rPr>
      </w:pPr>
      <w:r>
        <w:rPr>
          <w:rFonts w:eastAsia="Times New Roman" w:cstheme="minorHAnsi"/>
          <w:color w:val="212121"/>
        </w:rPr>
        <w:t>Regionally, teams in our area play under the banner of the</w:t>
      </w:r>
      <w:r w:rsidRPr="00BE659E">
        <w:rPr>
          <w:rFonts w:eastAsia="Times New Roman" w:cstheme="minorHAnsi"/>
          <w:color w:val="212121"/>
        </w:rPr>
        <w:t xml:space="preserve"> Men's Collegiate Lacrosse Association (MCLA). The MCLA consists of eight non-varsity college lacrosse conferences featuring over 160 teams across 42 states and two countries. The association provides a governing structure similar to the NCAA, consisting of eligibility rules, national awards, polls, and championship tournaments.</w:t>
      </w:r>
    </w:p>
    <w:p w14:paraId="73437412" w14:textId="77777777" w:rsidR="00BE659E" w:rsidRPr="00BE659E" w:rsidRDefault="00BE659E" w:rsidP="00BE659E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19F30F5C" w14:textId="50C047C8" w:rsidR="00620F77" w:rsidRDefault="00BE659E" w:rsidP="00620F77">
      <w:pPr>
        <w:shd w:val="clear" w:color="auto" w:fill="FFFFFF"/>
        <w:ind w:left="360"/>
        <w:rPr>
          <w:rFonts w:eastAsia="Times New Roman" w:cstheme="minorHAnsi"/>
          <w:color w:val="212121"/>
        </w:rPr>
      </w:pPr>
      <w:r>
        <w:rPr>
          <w:rFonts w:eastAsia="Times New Roman" w:cstheme="minorHAnsi"/>
          <w:color w:val="212121"/>
        </w:rPr>
        <w:t>Should</w:t>
      </w:r>
      <w:r w:rsidRPr="00BE659E">
        <w:rPr>
          <w:rFonts w:eastAsia="Times New Roman" w:cstheme="minorHAnsi"/>
          <w:color w:val="212121"/>
        </w:rPr>
        <w:t xml:space="preserve"> Wichita State participate in the MCLA they would </w:t>
      </w:r>
      <w:r>
        <w:rPr>
          <w:rFonts w:eastAsia="Times New Roman" w:cstheme="minorHAnsi"/>
          <w:color w:val="212121"/>
        </w:rPr>
        <w:t xml:space="preserve">likely </w:t>
      </w:r>
      <w:r w:rsidRPr="00BE659E">
        <w:rPr>
          <w:rFonts w:eastAsia="Times New Roman" w:cstheme="minorHAnsi"/>
          <w:color w:val="212121"/>
        </w:rPr>
        <w:t xml:space="preserve">compete in the </w:t>
      </w:r>
      <w:hyperlink r:id="rId7" w:history="1">
        <w:r w:rsidRPr="00BE659E">
          <w:rPr>
            <w:rStyle w:val="Hyperlink"/>
            <w:rFonts w:eastAsia="Times New Roman" w:cstheme="minorHAnsi"/>
          </w:rPr>
          <w:t xml:space="preserve">Lone Star </w:t>
        </w:r>
        <w:r w:rsidR="005E54C1" w:rsidRPr="00C84EA8">
          <w:rPr>
            <w:rStyle w:val="Hyperlink"/>
            <w:rFonts w:eastAsia="Times New Roman" w:cstheme="minorHAnsi"/>
          </w:rPr>
          <w:t>Alliance</w:t>
        </w:r>
      </w:hyperlink>
      <w:r w:rsidR="005E54C1">
        <w:rPr>
          <w:rFonts w:eastAsia="Times New Roman" w:cstheme="minorHAnsi"/>
          <w:color w:val="212121"/>
        </w:rPr>
        <w:t xml:space="preserve"> at the Division II level. Team in that division</w:t>
      </w:r>
      <w:r w:rsidRPr="00BE659E">
        <w:rPr>
          <w:rFonts w:eastAsia="Times New Roman" w:cstheme="minorHAnsi"/>
          <w:color w:val="212121"/>
        </w:rPr>
        <w:t xml:space="preserve"> include</w:t>
      </w:r>
      <w:r>
        <w:rPr>
          <w:rFonts w:eastAsia="Times New Roman" w:cstheme="minorHAnsi"/>
          <w:color w:val="212121"/>
        </w:rPr>
        <w:t xml:space="preserve"> several historical rivals, </w:t>
      </w:r>
      <w:r w:rsidR="00BF37F4">
        <w:rPr>
          <w:rFonts w:eastAsia="Times New Roman" w:cstheme="minorHAnsi"/>
          <w:color w:val="212121"/>
        </w:rPr>
        <w:t>(</w:t>
      </w:r>
      <w:r>
        <w:rPr>
          <w:rFonts w:eastAsia="Times New Roman" w:cstheme="minorHAnsi"/>
          <w:color w:val="212121"/>
        </w:rPr>
        <w:t>notably Kansas State, Oklahoma State, Creighton and Missouri State</w:t>
      </w:r>
      <w:r w:rsidR="00BF37F4">
        <w:rPr>
          <w:rFonts w:eastAsia="Times New Roman" w:cstheme="minorHAnsi"/>
          <w:color w:val="212121"/>
        </w:rPr>
        <w:t xml:space="preserve">) and </w:t>
      </w:r>
      <w:r w:rsidR="005E54C1">
        <w:rPr>
          <w:rFonts w:eastAsia="Times New Roman" w:cstheme="minorHAnsi"/>
          <w:color w:val="212121"/>
        </w:rPr>
        <w:t>many of the</w:t>
      </w:r>
      <w:r w:rsidR="00BF37F4">
        <w:rPr>
          <w:rFonts w:eastAsia="Times New Roman" w:cstheme="minorHAnsi"/>
          <w:color w:val="212121"/>
        </w:rPr>
        <w:t xml:space="preserve"> schools are within </w:t>
      </w:r>
      <w:r w:rsidR="005E54C1">
        <w:rPr>
          <w:rFonts w:eastAsia="Times New Roman" w:cstheme="minorHAnsi"/>
          <w:color w:val="212121"/>
        </w:rPr>
        <w:t>a day’s</w:t>
      </w:r>
      <w:r w:rsidR="00BF37F4">
        <w:rPr>
          <w:rFonts w:eastAsia="Times New Roman" w:cstheme="minorHAnsi"/>
          <w:color w:val="212121"/>
        </w:rPr>
        <w:t xml:space="preserve"> driving distance of Wichita</w:t>
      </w:r>
      <w:r>
        <w:rPr>
          <w:rFonts w:eastAsia="Times New Roman" w:cstheme="minorHAnsi"/>
          <w:color w:val="212121"/>
        </w:rPr>
        <w:t xml:space="preserve">. </w:t>
      </w:r>
    </w:p>
    <w:p w14:paraId="559DB694" w14:textId="1E7221EF" w:rsidR="00620F77" w:rsidRDefault="00620F77" w:rsidP="00620F7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1B8CA352" w14:textId="7D623DED" w:rsidR="00620F77" w:rsidRDefault="00620F77" w:rsidP="00620F7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3CEEB5B1" w14:textId="2CBD263D" w:rsidR="00620F77" w:rsidRDefault="00620F77" w:rsidP="00620F7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6F70AAF4" w14:textId="505B46B4" w:rsidR="00620F77" w:rsidRDefault="00620F77" w:rsidP="00620F7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58B44F2A" w14:textId="184DEE0E" w:rsidR="00620F77" w:rsidRDefault="00620F77" w:rsidP="00620F7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00B242DE" w14:textId="51BBDF77" w:rsidR="00620F77" w:rsidRDefault="00620F77" w:rsidP="00620F7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2F78C780" w14:textId="478A54B0" w:rsidR="00620F77" w:rsidRDefault="00620F77" w:rsidP="00620F7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20DFBFF4" w14:textId="77777777" w:rsidR="00620F77" w:rsidRDefault="00620F77" w:rsidP="00620F7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6816FA15" w14:textId="2330E57E" w:rsidR="00620F77" w:rsidRDefault="00620F77" w:rsidP="00620F77">
      <w:pPr>
        <w:shd w:val="clear" w:color="auto" w:fill="FFFFFF"/>
        <w:rPr>
          <w:rFonts w:eastAsia="Times New Roman" w:cstheme="minorHAnsi"/>
          <w:color w:val="2121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70A2" w:rsidRPr="00620F77" w14:paraId="016A0B4A" w14:textId="77777777" w:rsidTr="00620F77">
        <w:tc>
          <w:tcPr>
            <w:tcW w:w="9350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0EF8C2" w14:textId="79D42F6D" w:rsidR="005270A2" w:rsidRPr="00620F77" w:rsidRDefault="005270A2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b/>
                <w:bCs/>
                <w:color w:val="212121"/>
                <w:sz w:val="22"/>
                <w:szCs w:val="22"/>
              </w:rPr>
            </w:pPr>
            <w:bookmarkStart w:id="0" w:name="_GoBack" w:colFirst="0" w:colLast="0"/>
            <w:r w:rsidRPr="00620F77">
              <w:rPr>
                <w:rFonts w:eastAsia="Times New Roman" w:cstheme="minorHAnsi"/>
                <w:b/>
                <w:bCs/>
                <w:color w:val="212121"/>
                <w:sz w:val="22"/>
                <w:szCs w:val="22"/>
              </w:rPr>
              <w:lastRenderedPageBreak/>
              <w:t>LONE STAR ALLIANCE DIVISION II TEAMS</w:t>
            </w:r>
          </w:p>
        </w:tc>
      </w:tr>
      <w:bookmarkEnd w:id="0"/>
      <w:tr w:rsidR="00620F77" w:rsidRPr="00620F77" w14:paraId="6EC7EB86" w14:textId="77777777" w:rsidTr="00620F77"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7A1299" w14:textId="3868A452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Dallas Baptist</w:t>
            </w:r>
          </w:p>
        </w:tc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28656C" w14:textId="52E96D7F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Washington University (Mo.)</w:t>
            </w:r>
          </w:p>
        </w:tc>
      </w:tr>
      <w:tr w:rsidR="00620F77" w:rsidRPr="00620F77" w14:paraId="3A23C58F" w14:textId="77777777" w:rsidTr="00620F77"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A3674C" w14:textId="601A8CBB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Kansas State</w:t>
            </w:r>
          </w:p>
        </w:tc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BE8C93" w14:textId="26E8FAC7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Louisiana</w:t>
            </w:r>
          </w:p>
        </w:tc>
      </w:tr>
      <w:tr w:rsidR="00620F77" w:rsidRPr="00620F77" w14:paraId="34E92452" w14:textId="77777777" w:rsidTr="00620F77"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5ED6D8" w14:textId="7595DBD7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Oklahoma State</w:t>
            </w:r>
          </w:p>
        </w:tc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64D26C" w14:textId="7C5D6B44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Southeastern Louisiana</w:t>
            </w:r>
          </w:p>
        </w:tc>
      </w:tr>
      <w:tr w:rsidR="00620F77" w:rsidRPr="00620F77" w14:paraId="7A483484" w14:textId="77777777" w:rsidTr="00620F77"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232245" w14:textId="111FB541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UT-Dallas</w:t>
            </w:r>
          </w:p>
        </w:tc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E6B205" w14:textId="67FD52C6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Tulane</w:t>
            </w:r>
          </w:p>
        </w:tc>
      </w:tr>
      <w:tr w:rsidR="00620F77" w:rsidRPr="00620F77" w14:paraId="37B284EC" w14:textId="77777777" w:rsidTr="00620F77"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13AFD4" w14:textId="087932B1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Creighton</w:t>
            </w:r>
          </w:p>
        </w:tc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4D25DD" w14:textId="63950C14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Baylor</w:t>
            </w:r>
          </w:p>
        </w:tc>
      </w:tr>
      <w:tr w:rsidR="00620F77" w:rsidRPr="00620F77" w14:paraId="184F583C" w14:textId="77777777" w:rsidTr="00620F77"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A23277" w14:textId="2C9A6CFF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Missouri State</w:t>
            </w:r>
          </w:p>
        </w:tc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76EC2E" w14:textId="70B3B215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Rice</w:t>
            </w:r>
          </w:p>
        </w:tc>
      </w:tr>
      <w:tr w:rsidR="00620F77" w:rsidRPr="00620F77" w14:paraId="00FAF6A2" w14:textId="77777777" w:rsidTr="00620F77"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5B869F" w14:textId="3B542B0F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UT-San Antonio</w:t>
            </w:r>
          </w:p>
        </w:tc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4847E5" w14:textId="212A5961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TAMU-Galveston</w:t>
            </w:r>
          </w:p>
        </w:tc>
      </w:tr>
      <w:tr w:rsidR="00620F77" w:rsidRPr="00620F77" w14:paraId="765A088A" w14:textId="77777777" w:rsidTr="00620F77"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13539E" w14:textId="2704AFAC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  <w:r w:rsidRPr="00620F77">
              <w:rPr>
                <w:rFonts w:eastAsia="Times New Roman" w:cstheme="minorHAnsi"/>
                <w:color w:val="212121"/>
                <w:sz w:val="22"/>
                <w:szCs w:val="22"/>
              </w:rPr>
              <w:t>Saint Louis University</w:t>
            </w:r>
          </w:p>
        </w:tc>
        <w:tc>
          <w:tcPr>
            <w:tcW w:w="46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7B9D9A" w14:textId="77777777" w:rsidR="00620F77" w:rsidRPr="00620F77" w:rsidRDefault="00620F77" w:rsidP="00620F77">
            <w:pPr>
              <w:shd w:val="clear" w:color="auto" w:fill="FFFFFF"/>
              <w:ind w:left="360"/>
              <w:jc w:val="center"/>
              <w:rPr>
                <w:rFonts w:eastAsia="Times New Roman" w:cstheme="minorHAnsi"/>
                <w:color w:val="212121"/>
                <w:sz w:val="22"/>
                <w:szCs w:val="22"/>
              </w:rPr>
            </w:pPr>
          </w:p>
        </w:tc>
      </w:tr>
    </w:tbl>
    <w:p w14:paraId="7370B857" w14:textId="465CDA8A" w:rsidR="00F66FCE" w:rsidRPr="00F468BB" w:rsidRDefault="00F66FCE" w:rsidP="00F66FCE">
      <w:pPr>
        <w:shd w:val="clear" w:color="auto" w:fill="FFFFFF"/>
        <w:rPr>
          <w:rFonts w:eastAsia="Times New Roman" w:cstheme="minorHAnsi"/>
          <w:color w:val="212121"/>
        </w:rPr>
      </w:pPr>
    </w:p>
    <w:p w14:paraId="3BEE2E3D" w14:textId="3B709CC6" w:rsidR="00F66FCE" w:rsidRPr="00F468BB" w:rsidRDefault="00F66FCE" w:rsidP="00F66FCE">
      <w:pPr>
        <w:shd w:val="clear" w:color="auto" w:fill="FFFFFF"/>
        <w:rPr>
          <w:rFonts w:eastAsia="Times New Roman" w:cstheme="minorHAnsi"/>
          <w:color w:val="212121"/>
        </w:rPr>
      </w:pPr>
    </w:p>
    <w:p w14:paraId="4D6466D4" w14:textId="78E1CA98" w:rsidR="00D4400F" w:rsidRPr="00F468BB" w:rsidRDefault="00F66FCE" w:rsidP="00620F77">
      <w:pPr>
        <w:pStyle w:val="Heading2"/>
        <w:rPr>
          <w:rFonts w:eastAsia="Times New Roman"/>
        </w:rPr>
      </w:pPr>
      <w:r w:rsidRPr="00F468BB">
        <w:rPr>
          <w:rFonts w:eastAsia="Times New Roman"/>
        </w:rPr>
        <w:t>NEGATIVE FACTORS</w:t>
      </w:r>
    </w:p>
    <w:p w14:paraId="2B876E17" w14:textId="059732EA" w:rsidR="00D4400F" w:rsidRPr="00F468BB" w:rsidRDefault="00D4400F" w:rsidP="00726AF6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2193B178" w14:textId="13FC6A89" w:rsidR="00D4400F" w:rsidRPr="00F468BB" w:rsidRDefault="00D4400F" w:rsidP="00F66FCE">
      <w:pPr>
        <w:shd w:val="clear" w:color="auto" w:fill="FFFFFF"/>
        <w:ind w:left="360"/>
        <w:rPr>
          <w:rFonts w:eastAsia="Times New Roman" w:cstheme="minorHAnsi"/>
          <w:color w:val="212121"/>
        </w:rPr>
      </w:pPr>
      <w:r w:rsidRPr="00F468BB">
        <w:rPr>
          <w:rFonts w:eastAsia="Times New Roman" w:cstheme="minorHAnsi"/>
          <w:color w:val="212121"/>
        </w:rPr>
        <w:t>The negative factors are centered around the expense of starting a program</w:t>
      </w:r>
      <w:r w:rsidR="00620F77">
        <w:rPr>
          <w:rFonts w:eastAsia="Times New Roman" w:cstheme="minorHAnsi"/>
          <w:color w:val="212121"/>
        </w:rPr>
        <w:t xml:space="preserve">; and </w:t>
      </w:r>
      <w:r w:rsidR="00BF37F4">
        <w:rPr>
          <w:rFonts w:eastAsia="Times New Roman" w:cstheme="minorHAnsi"/>
          <w:color w:val="212121"/>
        </w:rPr>
        <w:t>the uncertainty of level of interest</w:t>
      </w:r>
      <w:r w:rsidRPr="00F468BB">
        <w:rPr>
          <w:rFonts w:eastAsia="Times New Roman" w:cstheme="minorHAnsi"/>
          <w:color w:val="212121"/>
        </w:rPr>
        <w:t>.</w:t>
      </w:r>
    </w:p>
    <w:p w14:paraId="691E7731" w14:textId="50CF90E8" w:rsidR="005F0701" w:rsidRPr="00F468BB" w:rsidRDefault="005F0701" w:rsidP="00726AF6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45F6E2A8" w14:textId="2FB6201B" w:rsidR="005F0701" w:rsidRPr="00F468BB" w:rsidRDefault="005F0701" w:rsidP="00F66FCE">
      <w:pPr>
        <w:pStyle w:val="Heading3"/>
        <w:rPr>
          <w:rFonts w:asciiTheme="minorHAnsi" w:eastAsia="Times New Roman" w:hAnsiTheme="minorHAnsi"/>
        </w:rPr>
      </w:pPr>
      <w:r w:rsidRPr="00F468BB">
        <w:rPr>
          <w:rFonts w:asciiTheme="minorHAnsi" w:eastAsia="Times New Roman" w:hAnsiTheme="minorHAnsi"/>
        </w:rPr>
        <w:t>Startup costs</w:t>
      </w:r>
    </w:p>
    <w:p w14:paraId="2C7698AF" w14:textId="1FDBF599" w:rsidR="005F0701" w:rsidRDefault="005F0701" w:rsidP="00726AF6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5469BBE8" w14:textId="44B39DD5" w:rsidR="005325AD" w:rsidRDefault="005325AD" w:rsidP="00726AF6">
      <w:pPr>
        <w:shd w:val="clear" w:color="auto" w:fill="FFFFFF"/>
        <w:ind w:left="360"/>
        <w:rPr>
          <w:rFonts w:eastAsia="Times New Roman" w:cstheme="minorHAnsi"/>
          <w:color w:val="212121"/>
        </w:rPr>
      </w:pPr>
      <w:r>
        <w:rPr>
          <w:rFonts w:eastAsia="Times New Roman" w:cstheme="minorHAnsi"/>
          <w:color w:val="212121"/>
        </w:rPr>
        <w:t xml:space="preserve">Campus Recreation estimates that the startup costs at $17,000 (see last page for a breakdown). Of that amount, it could only provide $2,100 to pay for uniforms, travel to road games and hiring officials. Should the club qualify for regional or national championship tournaments, a separate </w:t>
      </w:r>
      <w:r w:rsidR="00BF37F4">
        <w:rPr>
          <w:rFonts w:eastAsia="Times New Roman" w:cstheme="minorHAnsi"/>
          <w:color w:val="212121"/>
        </w:rPr>
        <w:t xml:space="preserve">budget </w:t>
      </w:r>
      <w:r>
        <w:rPr>
          <w:rFonts w:eastAsia="Times New Roman" w:cstheme="minorHAnsi"/>
          <w:color w:val="212121"/>
        </w:rPr>
        <w:t xml:space="preserve">line item </w:t>
      </w:r>
      <w:r w:rsidR="003B2B1F">
        <w:rPr>
          <w:rFonts w:eastAsia="Times New Roman" w:cstheme="minorHAnsi"/>
          <w:color w:val="212121"/>
        </w:rPr>
        <w:t>would support</w:t>
      </w:r>
      <w:r>
        <w:rPr>
          <w:rFonts w:eastAsia="Times New Roman" w:cstheme="minorHAnsi"/>
          <w:color w:val="212121"/>
        </w:rPr>
        <w:t xml:space="preserve"> limited travel costs.  </w:t>
      </w:r>
      <w:r w:rsidR="00BF37F4">
        <w:rPr>
          <w:rFonts w:eastAsia="Times New Roman" w:cstheme="minorHAnsi"/>
          <w:color w:val="212121"/>
        </w:rPr>
        <w:t xml:space="preserve">Because of the financial limitation of the department, </w:t>
      </w:r>
      <w:r>
        <w:rPr>
          <w:rFonts w:eastAsia="Times New Roman" w:cstheme="minorHAnsi"/>
          <w:color w:val="212121"/>
        </w:rPr>
        <w:t>players would have</w:t>
      </w:r>
      <w:r w:rsidR="00850CBC">
        <w:rPr>
          <w:rFonts w:eastAsia="Times New Roman" w:cstheme="minorHAnsi"/>
          <w:color w:val="212121"/>
        </w:rPr>
        <w:t xml:space="preserve"> </w:t>
      </w:r>
      <w:proofErr w:type="gramStart"/>
      <w:r w:rsidR="00850CBC">
        <w:rPr>
          <w:rFonts w:eastAsia="Times New Roman" w:cstheme="minorHAnsi"/>
          <w:color w:val="212121"/>
        </w:rPr>
        <w:t>provide</w:t>
      </w:r>
      <w:proofErr w:type="gramEnd"/>
      <w:r w:rsidR="00850CBC">
        <w:rPr>
          <w:rFonts w:eastAsia="Times New Roman" w:cstheme="minorHAnsi"/>
          <w:color w:val="212121"/>
        </w:rPr>
        <w:t xml:space="preserve"> much of their own equipment and </w:t>
      </w:r>
      <w:r w:rsidR="00BF37F4">
        <w:rPr>
          <w:rFonts w:eastAsia="Times New Roman" w:cstheme="minorHAnsi"/>
          <w:color w:val="212121"/>
        </w:rPr>
        <w:t>likely pay</w:t>
      </w:r>
      <w:r w:rsidR="00850CBC">
        <w:rPr>
          <w:rFonts w:eastAsia="Times New Roman" w:cstheme="minorHAnsi"/>
          <w:color w:val="212121"/>
        </w:rPr>
        <w:t xml:space="preserve"> for some travel costs</w:t>
      </w:r>
      <w:r w:rsidR="00BF37F4">
        <w:rPr>
          <w:rFonts w:eastAsia="Times New Roman" w:cstheme="minorHAnsi"/>
          <w:color w:val="212121"/>
        </w:rPr>
        <w:t>, as well</w:t>
      </w:r>
      <w:r w:rsidR="00850CBC">
        <w:rPr>
          <w:rFonts w:eastAsia="Times New Roman" w:cstheme="minorHAnsi"/>
          <w:color w:val="212121"/>
        </w:rPr>
        <w:t>.</w:t>
      </w:r>
    </w:p>
    <w:p w14:paraId="652332CC" w14:textId="77777777" w:rsidR="005325AD" w:rsidRDefault="005325AD" w:rsidP="00726AF6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42BA213F" w14:textId="3B45EB78" w:rsidR="00442997" w:rsidRPr="00F468BB" w:rsidRDefault="00620F77" w:rsidP="00F66FCE">
      <w:pPr>
        <w:pStyle w:val="Heading3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Little r</w:t>
      </w:r>
      <w:r w:rsidR="00BF37F4">
        <w:rPr>
          <w:rFonts w:asciiTheme="minorHAnsi" w:eastAsia="Times New Roman" w:hAnsiTheme="minorHAnsi"/>
        </w:rPr>
        <w:t>egional</w:t>
      </w:r>
      <w:r w:rsidR="00E804B4">
        <w:rPr>
          <w:rFonts w:asciiTheme="minorHAnsi" w:eastAsia="Times New Roman" w:hAnsiTheme="minorHAnsi"/>
        </w:rPr>
        <w:t xml:space="preserve"> history </w:t>
      </w:r>
      <w:r w:rsidR="00BF37F4">
        <w:rPr>
          <w:rFonts w:asciiTheme="minorHAnsi" w:eastAsia="Times New Roman" w:hAnsiTheme="minorHAnsi"/>
        </w:rPr>
        <w:t>with</w:t>
      </w:r>
      <w:r w:rsidR="00E804B4">
        <w:rPr>
          <w:rFonts w:asciiTheme="minorHAnsi" w:eastAsia="Times New Roman" w:hAnsiTheme="minorHAnsi"/>
        </w:rPr>
        <w:t xml:space="preserve"> the sport</w:t>
      </w:r>
    </w:p>
    <w:p w14:paraId="799A525D" w14:textId="77777777" w:rsidR="00442997" w:rsidRPr="00F468BB" w:rsidRDefault="00442997" w:rsidP="0044299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07BFEC64" w14:textId="42D3A937" w:rsidR="00442997" w:rsidRDefault="00E804B4" w:rsidP="00F66FCE">
      <w:pPr>
        <w:shd w:val="clear" w:color="auto" w:fill="FFFFFF"/>
        <w:ind w:left="360"/>
        <w:rPr>
          <w:rFonts w:eastAsia="Times New Roman" w:cstheme="minorHAnsi"/>
          <w:color w:val="212121"/>
        </w:rPr>
      </w:pPr>
      <w:r>
        <w:rPr>
          <w:rFonts w:eastAsia="Times New Roman" w:cstheme="minorHAnsi"/>
          <w:color w:val="212121"/>
        </w:rPr>
        <w:t xml:space="preserve">Lacrosse is not a well-known sport in the south-central Kansas region. </w:t>
      </w:r>
      <w:r w:rsidR="00BF37F4">
        <w:rPr>
          <w:rFonts w:eastAsia="Times New Roman" w:cstheme="minorHAnsi"/>
          <w:color w:val="212121"/>
        </w:rPr>
        <w:t xml:space="preserve">The sport is not sanctioned by the Kansas State High School Athletic Association. </w:t>
      </w:r>
      <w:r>
        <w:rPr>
          <w:rFonts w:eastAsia="Times New Roman" w:cstheme="minorHAnsi"/>
          <w:color w:val="212121"/>
        </w:rPr>
        <w:t xml:space="preserve">Of the 20 or so high school </w:t>
      </w:r>
      <w:r w:rsidR="00BF37F4">
        <w:rPr>
          <w:rFonts w:eastAsia="Times New Roman" w:cstheme="minorHAnsi"/>
          <w:color w:val="212121"/>
        </w:rPr>
        <w:t xml:space="preserve">programs in the state, most are located in the Kansas City Metropolitan Statistical Area and </w:t>
      </w:r>
      <w:r>
        <w:rPr>
          <w:rFonts w:eastAsia="Times New Roman" w:cstheme="minorHAnsi"/>
          <w:color w:val="212121"/>
        </w:rPr>
        <w:t>only two schools – Wichita Bishop Carroll High School and Andover High School – field teams locally</w:t>
      </w:r>
      <w:r w:rsidR="00442997" w:rsidRPr="00F468BB">
        <w:rPr>
          <w:rFonts w:eastAsia="Times New Roman" w:cstheme="minorHAnsi"/>
          <w:color w:val="212121"/>
        </w:rPr>
        <w:t>.</w:t>
      </w:r>
      <w:r>
        <w:rPr>
          <w:rFonts w:eastAsia="Times New Roman" w:cstheme="minorHAnsi"/>
          <w:color w:val="212121"/>
        </w:rPr>
        <w:t xml:space="preserve"> The appeal of the program from a </w:t>
      </w:r>
      <w:r w:rsidR="005325AD">
        <w:rPr>
          <w:rFonts w:eastAsia="Times New Roman" w:cstheme="minorHAnsi"/>
          <w:color w:val="212121"/>
        </w:rPr>
        <w:t xml:space="preserve">recruiting standpoint </w:t>
      </w:r>
      <w:r>
        <w:rPr>
          <w:rFonts w:eastAsia="Times New Roman" w:cstheme="minorHAnsi"/>
          <w:color w:val="212121"/>
        </w:rPr>
        <w:t xml:space="preserve">would therefore be </w:t>
      </w:r>
      <w:r w:rsidR="005325AD">
        <w:rPr>
          <w:rFonts w:eastAsia="Times New Roman" w:cstheme="minorHAnsi"/>
          <w:color w:val="212121"/>
        </w:rPr>
        <w:t xml:space="preserve">outside of the </w:t>
      </w:r>
      <w:r w:rsidR="00850CBC">
        <w:rPr>
          <w:rFonts w:eastAsia="Times New Roman" w:cstheme="minorHAnsi"/>
          <w:color w:val="212121"/>
        </w:rPr>
        <w:t>area and largely outside the state</w:t>
      </w:r>
      <w:r w:rsidR="005325AD">
        <w:rPr>
          <w:rFonts w:eastAsia="Times New Roman" w:cstheme="minorHAnsi"/>
          <w:color w:val="212121"/>
        </w:rPr>
        <w:t xml:space="preserve">. How strong of a draw </w:t>
      </w:r>
      <w:r w:rsidR="005E54C1">
        <w:rPr>
          <w:rFonts w:eastAsia="Times New Roman" w:cstheme="minorHAnsi"/>
          <w:color w:val="212121"/>
        </w:rPr>
        <w:t xml:space="preserve">the sport </w:t>
      </w:r>
      <w:r w:rsidR="005325AD">
        <w:rPr>
          <w:rFonts w:eastAsia="Times New Roman" w:cstheme="minorHAnsi"/>
          <w:color w:val="212121"/>
        </w:rPr>
        <w:t xml:space="preserve">might be </w:t>
      </w:r>
      <w:r w:rsidR="005E54C1">
        <w:rPr>
          <w:rFonts w:eastAsia="Times New Roman" w:cstheme="minorHAnsi"/>
          <w:color w:val="212121"/>
        </w:rPr>
        <w:t>for recruitment</w:t>
      </w:r>
      <w:r w:rsidR="005325AD">
        <w:rPr>
          <w:rFonts w:eastAsia="Times New Roman" w:cstheme="minorHAnsi"/>
          <w:color w:val="212121"/>
        </w:rPr>
        <w:t xml:space="preserve"> </w:t>
      </w:r>
      <w:r w:rsidR="005E54C1">
        <w:rPr>
          <w:rFonts w:eastAsia="Times New Roman" w:cstheme="minorHAnsi"/>
          <w:color w:val="212121"/>
        </w:rPr>
        <w:t xml:space="preserve">is </w:t>
      </w:r>
      <w:r w:rsidR="005325AD">
        <w:rPr>
          <w:rFonts w:eastAsia="Times New Roman" w:cstheme="minorHAnsi"/>
          <w:color w:val="212121"/>
        </w:rPr>
        <w:t>unclear.</w:t>
      </w:r>
    </w:p>
    <w:p w14:paraId="4D0F77F3" w14:textId="65797E5D" w:rsidR="00620F77" w:rsidRDefault="00620F77" w:rsidP="00F66FCE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00F1B4DE" w14:textId="53B45E85" w:rsidR="00620F77" w:rsidRDefault="00620F77" w:rsidP="00F66FCE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499B0529" w14:textId="77777777" w:rsidR="00620F77" w:rsidRPr="00F468BB" w:rsidRDefault="00620F77" w:rsidP="00F66FCE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44268C51" w14:textId="15E1D9DF" w:rsidR="00442997" w:rsidRPr="00F468BB" w:rsidRDefault="00442997" w:rsidP="0044299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64110FD1" w14:textId="1E2F71B5" w:rsidR="00442997" w:rsidRPr="00F468BB" w:rsidRDefault="00F66FCE" w:rsidP="00F66FCE">
      <w:pPr>
        <w:pStyle w:val="Heading2"/>
        <w:rPr>
          <w:rFonts w:asciiTheme="minorHAnsi" w:eastAsia="Times New Roman" w:hAnsiTheme="minorHAnsi"/>
        </w:rPr>
      </w:pPr>
      <w:r w:rsidRPr="00F468BB">
        <w:rPr>
          <w:rFonts w:asciiTheme="minorHAnsi" w:eastAsia="Times New Roman" w:hAnsiTheme="minorHAnsi"/>
        </w:rPr>
        <w:lastRenderedPageBreak/>
        <w:t>CONCLUSIONS AND RECOMMENDATIONS</w:t>
      </w:r>
    </w:p>
    <w:p w14:paraId="41A22733" w14:textId="04C69D88" w:rsidR="00442997" w:rsidRPr="00F468BB" w:rsidRDefault="00442997" w:rsidP="0044299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352DE16A" w14:textId="36457419" w:rsidR="00442997" w:rsidRPr="00F468BB" w:rsidRDefault="00442997" w:rsidP="00442997">
      <w:pPr>
        <w:shd w:val="clear" w:color="auto" w:fill="FFFFFF"/>
        <w:ind w:left="360"/>
        <w:rPr>
          <w:rFonts w:eastAsia="Times New Roman" w:cstheme="minorHAnsi"/>
          <w:color w:val="212121"/>
        </w:rPr>
      </w:pPr>
      <w:r w:rsidRPr="00F468BB">
        <w:rPr>
          <w:rFonts w:eastAsia="Times New Roman" w:cstheme="minorHAnsi"/>
          <w:color w:val="212121"/>
        </w:rPr>
        <w:t xml:space="preserve">The subcommittee </w:t>
      </w:r>
      <w:r w:rsidR="005325AD">
        <w:rPr>
          <w:rFonts w:eastAsia="Times New Roman" w:cstheme="minorHAnsi"/>
          <w:color w:val="212121"/>
        </w:rPr>
        <w:t>concluded</w:t>
      </w:r>
      <w:r w:rsidRPr="00F468BB">
        <w:rPr>
          <w:rFonts w:eastAsia="Times New Roman" w:cstheme="minorHAnsi"/>
          <w:color w:val="212121"/>
        </w:rPr>
        <w:t xml:space="preserve"> that </w:t>
      </w:r>
      <w:r w:rsidR="005325AD">
        <w:rPr>
          <w:rFonts w:eastAsia="Times New Roman" w:cstheme="minorHAnsi"/>
          <w:color w:val="212121"/>
        </w:rPr>
        <w:t>lacrosse</w:t>
      </w:r>
      <w:r w:rsidRPr="00F468BB">
        <w:rPr>
          <w:rFonts w:eastAsia="Times New Roman" w:cstheme="minorHAnsi"/>
          <w:color w:val="212121"/>
        </w:rPr>
        <w:t xml:space="preserve"> </w:t>
      </w:r>
      <w:r w:rsidR="00620F77">
        <w:rPr>
          <w:rFonts w:eastAsia="Times New Roman" w:cstheme="minorHAnsi"/>
          <w:color w:val="212121"/>
        </w:rPr>
        <w:t>could be</w:t>
      </w:r>
      <w:r w:rsidRPr="00F468BB">
        <w:rPr>
          <w:rFonts w:eastAsia="Times New Roman" w:cstheme="minorHAnsi"/>
          <w:color w:val="212121"/>
        </w:rPr>
        <w:t xml:space="preserve"> feasible </w:t>
      </w:r>
      <w:r w:rsidR="005325AD">
        <w:rPr>
          <w:rFonts w:eastAsia="Times New Roman" w:cstheme="minorHAnsi"/>
          <w:color w:val="212121"/>
        </w:rPr>
        <w:t>as</w:t>
      </w:r>
      <w:r w:rsidR="00620F77">
        <w:rPr>
          <w:rFonts w:eastAsia="Times New Roman" w:cstheme="minorHAnsi"/>
          <w:color w:val="212121"/>
        </w:rPr>
        <w:t xml:space="preserve"> a </w:t>
      </w:r>
      <w:r w:rsidR="005325AD">
        <w:rPr>
          <w:rFonts w:eastAsia="Times New Roman" w:cstheme="minorHAnsi"/>
          <w:color w:val="212121"/>
        </w:rPr>
        <w:t>club sport,</w:t>
      </w:r>
      <w:r w:rsidR="00620F77">
        <w:rPr>
          <w:rFonts w:eastAsia="Times New Roman" w:cstheme="minorHAnsi"/>
          <w:color w:val="212121"/>
        </w:rPr>
        <w:t xml:space="preserve"> but only if players are willing to pay to play</w:t>
      </w:r>
      <w:r w:rsidR="00850CBC">
        <w:rPr>
          <w:rFonts w:eastAsia="Times New Roman" w:cstheme="minorHAnsi"/>
          <w:color w:val="212121"/>
        </w:rPr>
        <w:t>.</w:t>
      </w:r>
      <w:r w:rsidR="003B2B1F">
        <w:rPr>
          <w:rFonts w:eastAsia="Times New Roman" w:cstheme="minorHAnsi"/>
          <w:color w:val="212121"/>
        </w:rPr>
        <w:t xml:space="preserve">  </w:t>
      </w:r>
    </w:p>
    <w:p w14:paraId="37347A32" w14:textId="73409266" w:rsidR="00442997" w:rsidRPr="00F468BB" w:rsidRDefault="00442997" w:rsidP="00442997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0922F43F" w14:textId="05305E3F" w:rsidR="00EE5164" w:rsidRDefault="00442997" w:rsidP="00850CBC">
      <w:pPr>
        <w:shd w:val="clear" w:color="auto" w:fill="FFFFFF"/>
        <w:ind w:left="360"/>
        <w:rPr>
          <w:rFonts w:eastAsia="Times New Roman" w:cstheme="minorHAnsi"/>
          <w:color w:val="212121"/>
        </w:rPr>
      </w:pPr>
      <w:r w:rsidRPr="00F468BB">
        <w:rPr>
          <w:rFonts w:eastAsia="Times New Roman" w:cstheme="minorHAnsi"/>
          <w:color w:val="212121"/>
        </w:rPr>
        <w:t>The subcommittee recommends the following steps be taken:</w:t>
      </w:r>
    </w:p>
    <w:p w14:paraId="2B9C4665" w14:textId="25454A50" w:rsidR="00850CBC" w:rsidRDefault="00850CBC" w:rsidP="00850CBC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196D8A39" w14:textId="2EA250D5" w:rsidR="00850CBC" w:rsidRPr="005E54C1" w:rsidRDefault="00850CBC" w:rsidP="005E54C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212121"/>
        </w:rPr>
      </w:pPr>
      <w:r w:rsidRPr="005E54C1">
        <w:rPr>
          <w:rFonts w:eastAsia="Times New Roman" w:cstheme="minorHAnsi"/>
          <w:color w:val="212121"/>
        </w:rPr>
        <w:t xml:space="preserve">Lacrosse should be offered as an option for fall on a trial basis to determine the level of interest among current students, identify potential club leaders to </w:t>
      </w:r>
      <w:r w:rsidR="003B2B1F">
        <w:rPr>
          <w:rFonts w:eastAsia="Times New Roman" w:cstheme="minorHAnsi"/>
          <w:color w:val="212121"/>
        </w:rPr>
        <w:t>organize</w:t>
      </w:r>
      <w:r w:rsidRPr="005E54C1">
        <w:rPr>
          <w:rFonts w:eastAsia="Times New Roman" w:cstheme="minorHAnsi"/>
          <w:color w:val="212121"/>
        </w:rPr>
        <w:t xml:space="preserve"> recruitment </w:t>
      </w:r>
      <w:r w:rsidR="003B2B1F">
        <w:rPr>
          <w:rFonts w:eastAsia="Times New Roman" w:cstheme="minorHAnsi"/>
          <w:color w:val="212121"/>
        </w:rPr>
        <w:t xml:space="preserve">and fundraising </w:t>
      </w:r>
      <w:r w:rsidRPr="005E54C1">
        <w:rPr>
          <w:rFonts w:eastAsia="Times New Roman" w:cstheme="minorHAnsi"/>
          <w:color w:val="212121"/>
        </w:rPr>
        <w:t xml:space="preserve">and </w:t>
      </w:r>
      <w:r w:rsidR="003B2B1F">
        <w:rPr>
          <w:rFonts w:eastAsia="Times New Roman" w:cstheme="minorHAnsi"/>
          <w:color w:val="212121"/>
        </w:rPr>
        <w:t>build</w:t>
      </w:r>
      <w:r w:rsidRPr="005E54C1">
        <w:rPr>
          <w:rFonts w:eastAsia="Times New Roman" w:cstheme="minorHAnsi"/>
          <w:color w:val="212121"/>
        </w:rPr>
        <w:t xml:space="preserve"> the foundation of the program.  </w:t>
      </w:r>
    </w:p>
    <w:p w14:paraId="6498001B" w14:textId="77777777" w:rsidR="00850CBC" w:rsidRDefault="00850CBC" w:rsidP="00850CBC">
      <w:pPr>
        <w:shd w:val="clear" w:color="auto" w:fill="FFFFFF"/>
        <w:ind w:left="360"/>
        <w:rPr>
          <w:rFonts w:eastAsia="Times New Roman" w:cstheme="minorHAnsi"/>
          <w:color w:val="212121"/>
        </w:rPr>
      </w:pPr>
    </w:p>
    <w:p w14:paraId="54F6A228" w14:textId="2183C11F" w:rsidR="005E54C1" w:rsidRDefault="00BF37F4" w:rsidP="00620F77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212121"/>
        </w:rPr>
      </w:pPr>
      <w:r w:rsidRPr="005E54C1">
        <w:rPr>
          <w:rFonts w:eastAsia="Times New Roman" w:cstheme="minorHAnsi"/>
          <w:color w:val="212121"/>
        </w:rPr>
        <w:t>Campus Recreation should reach out to the MCLA to express the intentions of the university to start a program and determine the requirements for entry.</w:t>
      </w:r>
    </w:p>
    <w:p w14:paraId="1839480D" w14:textId="77777777" w:rsidR="003B2B1F" w:rsidRPr="003B2B1F" w:rsidRDefault="003B2B1F" w:rsidP="003B2B1F">
      <w:pPr>
        <w:pStyle w:val="ListParagraph"/>
        <w:rPr>
          <w:rFonts w:eastAsia="Times New Roman" w:cstheme="minorHAnsi"/>
          <w:color w:val="212121"/>
        </w:rPr>
      </w:pPr>
    </w:p>
    <w:p w14:paraId="5694742A" w14:textId="3509BB00" w:rsidR="003B2B1F" w:rsidRPr="00620F77" w:rsidRDefault="003B2B1F" w:rsidP="00620F77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212121"/>
        </w:rPr>
      </w:pPr>
      <w:r>
        <w:rPr>
          <w:rFonts w:eastAsia="Times New Roman" w:cstheme="minorHAnsi"/>
          <w:color w:val="212121"/>
        </w:rPr>
        <w:t>To mitigate risk, the above two steps should be undertaken prior to any university expenditures on equipment.</w:t>
      </w:r>
    </w:p>
    <w:p w14:paraId="6321E226" w14:textId="25EDBE5F" w:rsidR="00F468BB" w:rsidRPr="00F468BB" w:rsidRDefault="00F468BB" w:rsidP="00726AF6">
      <w:pPr>
        <w:rPr>
          <w:rFonts w:cstheme="minorHAnsi"/>
        </w:rPr>
      </w:pPr>
    </w:p>
    <w:p w14:paraId="2CAD11F0" w14:textId="0695EC59" w:rsidR="00F468BB" w:rsidRPr="00F468BB" w:rsidRDefault="00F468BB" w:rsidP="00726AF6">
      <w:pPr>
        <w:rPr>
          <w:rFonts w:cstheme="minorHAnsi"/>
        </w:rPr>
      </w:pPr>
    </w:p>
    <w:p w14:paraId="4098C2BC" w14:textId="3F738D2C" w:rsidR="00F468BB" w:rsidRPr="00F468BB" w:rsidRDefault="00F468BB" w:rsidP="00726AF6">
      <w:pPr>
        <w:rPr>
          <w:rFonts w:cstheme="minorHAnsi"/>
        </w:rPr>
      </w:pPr>
    </w:p>
    <w:p w14:paraId="6CBF9445" w14:textId="618EB88F" w:rsidR="00B6550A" w:rsidRPr="00F468BB" w:rsidRDefault="00620F77" w:rsidP="00620F77">
      <w:pPr>
        <w:tabs>
          <w:tab w:val="left" w:pos="1320"/>
        </w:tabs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  <w:noProof/>
        </w:rPr>
        <w:drawing>
          <wp:inline distT="0" distB="0" distL="0" distR="0" wp14:anchorId="695F2148" wp14:editId="606BEA55">
            <wp:extent cx="7786694" cy="6016804"/>
            <wp:effectExtent l="0" t="0" r="0" b="0"/>
            <wp:docPr id="3" name="Picture 3" descr="Wichita State University - Sport Club - Lacrosse Exp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SU Lacrosse Sport Club Expenses (1)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4908" cy="60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RANGE!A1:I31"/>
      <w:bookmarkEnd w:id="1"/>
    </w:p>
    <w:sectPr w:rsidR="00B6550A" w:rsidRPr="00F468BB" w:rsidSect="00D01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A7CC" w14:textId="77777777" w:rsidR="00DA47E0" w:rsidRDefault="00DA47E0" w:rsidP="00F66FCE">
      <w:r>
        <w:separator/>
      </w:r>
    </w:p>
  </w:endnote>
  <w:endnote w:type="continuationSeparator" w:id="0">
    <w:p w14:paraId="3ED5CE2E" w14:textId="77777777" w:rsidR="00DA47E0" w:rsidRDefault="00DA47E0" w:rsidP="00F6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5C08E" w14:textId="77777777" w:rsidR="00DA47E0" w:rsidRDefault="00DA47E0" w:rsidP="00F66FCE">
      <w:r>
        <w:separator/>
      </w:r>
    </w:p>
  </w:footnote>
  <w:footnote w:type="continuationSeparator" w:id="0">
    <w:p w14:paraId="65253929" w14:textId="77777777" w:rsidR="00DA47E0" w:rsidRDefault="00DA47E0" w:rsidP="00F66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66AC"/>
    <w:multiLevelType w:val="hybridMultilevel"/>
    <w:tmpl w:val="58B46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0E32E1"/>
    <w:multiLevelType w:val="multilevel"/>
    <w:tmpl w:val="5434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E0917"/>
    <w:multiLevelType w:val="multilevel"/>
    <w:tmpl w:val="CFE4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F19F4"/>
    <w:multiLevelType w:val="hybridMultilevel"/>
    <w:tmpl w:val="B1463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E811EE"/>
    <w:multiLevelType w:val="hybridMultilevel"/>
    <w:tmpl w:val="F6465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F6"/>
    <w:rsid w:val="00015066"/>
    <w:rsid w:val="000620BF"/>
    <w:rsid w:val="00090389"/>
    <w:rsid w:val="00191A88"/>
    <w:rsid w:val="001C3DE2"/>
    <w:rsid w:val="003B2B1F"/>
    <w:rsid w:val="003C7F03"/>
    <w:rsid w:val="00442997"/>
    <w:rsid w:val="004D61A8"/>
    <w:rsid w:val="005270A2"/>
    <w:rsid w:val="005325AD"/>
    <w:rsid w:val="005E54C1"/>
    <w:rsid w:val="005F0701"/>
    <w:rsid w:val="00620F77"/>
    <w:rsid w:val="00726AF6"/>
    <w:rsid w:val="007B60CB"/>
    <w:rsid w:val="00850CBC"/>
    <w:rsid w:val="00995DE7"/>
    <w:rsid w:val="00A4653A"/>
    <w:rsid w:val="00B538B2"/>
    <w:rsid w:val="00B6550A"/>
    <w:rsid w:val="00BE659E"/>
    <w:rsid w:val="00BF37F4"/>
    <w:rsid w:val="00C329E7"/>
    <w:rsid w:val="00C84EA8"/>
    <w:rsid w:val="00D01695"/>
    <w:rsid w:val="00D4400F"/>
    <w:rsid w:val="00DA47E0"/>
    <w:rsid w:val="00DE55B2"/>
    <w:rsid w:val="00E804B4"/>
    <w:rsid w:val="00F379FA"/>
    <w:rsid w:val="00F468BB"/>
    <w:rsid w:val="00F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4E8F"/>
  <w14:defaultImageDpi w14:val="32767"/>
  <w15:chartTrackingRefBased/>
  <w15:docId w15:val="{6077B127-CAB0-2A4A-ACDF-6A9A5FE2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D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D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F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F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3DE2"/>
    <w:rPr>
      <w:rFonts w:asciiTheme="majorHAnsi" w:eastAsiaTheme="majorEastAsia" w:hAnsiTheme="majorHAnsi" w:cstheme="majorBidi"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3DE2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6FC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F66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FCE"/>
  </w:style>
  <w:style w:type="paragraph" w:styleId="Footer">
    <w:name w:val="footer"/>
    <w:basedOn w:val="Normal"/>
    <w:link w:val="FooterChar"/>
    <w:uiPriority w:val="99"/>
    <w:unhideWhenUsed/>
    <w:rsid w:val="00F66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FCE"/>
  </w:style>
  <w:style w:type="table" w:styleId="TableGrid">
    <w:name w:val="Table Grid"/>
    <w:basedOn w:val="TableNormal"/>
    <w:uiPriority w:val="39"/>
    <w:rsid w:val="0062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8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mcla.us/conference/l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Downs, Tessa</cp:lastModifiedBy>
  <cp:revision>2</cp:revision>
  <dcterms:created xsi:type="dcterms:W3CDTF">2021-03-17T20:26:00Z</dcterms:created>
  <dcterms:modified xsi:type="dcterms:W3CDTF">2021-03-17T20:26:00Z</dcterms:modified>
</cp:coreProperties>
</file>