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7BE" w:rsidRPr="00C31476" w:rsidRDefault="00C57AC9">
      <w:pPr>
        <w:rPr>
          <w:b/>
          <w:sz w:val="28"/>
          <w:szCs w:val="28"/>
          <w:u w:val="single"/>
        </w:rPr>
      </w:pPr>
      <w:r w:rsidRPr="00C31476">
        <w:rPr>
          <w:b/>
          <w:sz w:val="28"/>
          <w:szCs w:val="28"/>
          <w:u w:val="single"/>
        </w:rPr>
        <w:t>Restricted Party Screenings</w:t>
      </w:r>
    </w:p>
    <w:p w:rsidR="001175E8" w:rsidRDefault="003C144C">
      <w:r>
        <w:t xml:space="preserve">Providing services, financial assistance and engaging in trade activities with </w:t>
      </w:r>
      <w:r w:rsidR="00142575">
        <w:t xml:space="preserve">certain individuals, companies and organizations </w:t>
      </w:r>
      <w:r>
        <w:t>is prohibited under federal regulations</w:t>
      </w:r>
      <w:r w:rsidR="00142575">
        <w:t>.</w:t>
      </w:r>
      <w:r>
        <w:t xml:space="preserve"> </w:t>
      </w:r>
      <w:r w:rsidR="001175E8">
        <w:t>These prohibitions apply regardless of whether or not it is fundamental research, present</w:t>
      </w:r>
      <w:r w:rsidR="00C31476">
        <w:t>ations</w:t>
      </w:r>
      <w:r w:rsidR="001175E8">
        <w:t xml:space="preserve"> at conferences, provid</w:t>
      </w:r>
      <w:r w:rsidR="00C31476">
        <w:t>ing</w:t>
      </w:r>
      <w:r w:rsidR="001175E8">
        <w:t xml:space="preserve"> services or international travel.</w:t>
      </w:r>
    </w:p>
    <w:p w:rsidR="001175E8" w:rsidRPr="00C31476" w:rsidRDefault="007A674A">
      <w:pPr>
        <w:rPr>
          <w:b/>
          <w:u w:val="single"/>
        </w:rPr>
      </w:pPr>
      <w:r w:rsidRPr="00C31476">
        <w:rPr>
          <w:b/>
          <w:u w:val="single"/>
        </w:rPr>
        <w:t>U</w:t>
      </w:r>
      <w:r w:rsidR="001175E8" w:rsidRPr="00C31476">
        <w:rPr>
          <w:b/>
          <w:u w:val="single"/>
        </w:rPr>
        <w:t>nauthorized interactions</w:t>
      </w:r>
      <w:r w:rsidRPr="00C31476">
        <w:rPr>
          <w:b/>
          <w:u w:val="single"/>
        </w:rPr>
        <w:t xml:space="preserve"> with a Restricted Party </w:t>
      </w:r>
      <w:r w:rsidR="00C31476" w:rsidRPr="00C31476">
        <w:rPr>
          <w:b/>
          <w:u w:val="single"/>
        </w:rPr>
        <w:t>are</w:t>
      </w:r>
      <w:r w:rsidR="001175E8" w:rsidRPr="00C31476">
        <w:rPr>
          <w:b/>
          <w:u w:val="single"/>
        </w:rPr>
        <w:t xml:space="preserve"> </w:t>
      </w:r>
      <w:r w:rsidR="00C31476" w:rsidRPr="00C31476">
        <w:rPr>
          <w:b/>
          <w:u w:val="single"/>
        </w:rPr>
        <w:t xml:space="preserve">considered </w:t>
      </w:r>
      <w:r w:rsidR="001175E8" w:rsidRPr="00C31476">
        <w:rPr>
          <w:b/>
          <w:u w:val="single"/>
        </w:rPr>
        <w:t>an export violatio</w:t>
      </w:r>
      <w:r w:rsidRPr="00C31476">
        <w:rPr>
          <w:b/>
          <w:u w:val="single"/>
        </w:rPr>
        <w:t>n.</w:t>
      </w:r>
    </w:p>
    <w:p w:rsidR="00C31476" w:rsidRDefault="00C31476">
      <w:r>
        <w:t>While there are many lists enforced by multiple state and federal agencies, the Government requires that seven of them be checked regularly. Below is a summary of these major lists.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3145"/>
        <w:gridCol w:w="6178"/>
      </w:tblGrid>
      <w:tr w:rsidR="00B56DE1" w:rsidTr="00C91388">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145" w:type="dxa"/>
            <w:tcBorders>
              <w:bottom w:val="none" w:sz="0" w:space="0" w:color="auto"/>
            </w:tcBorders>
          </w:tcPr>
          <w:p w:rsidR="00B56DE1" w:rsidRDefault="00B56DE1" w:rsidP="00B56DE1">
            <w:r>
              <w:t>Department of Commerce (BIS)</w:t>
            </w:r>
          </w:p>
        </w:tc>
        <w:tc>
          <w:tcPr>
            <w:tcW w:w="6178" w:type="dxa"/>
            <w:tcBorders>
              <w:bottom w:val="none" w:sz="0" w:space="0" w:color="auto"/>
            </w:tcBorders>
          </w:tcPr>
          <w:p w:rsidR="00B56DE1" w:rsidRDefault="00B56DE1" w:rsidP="00B56DE1">
            <w:pPr>
              <w:cnfStyle w:val="100000000000" w:firstRow="1" w:lastRow="0" w:firstColumn="0" w:lastColumn="0" w:oddVBand="0" w:evenVBand="0" w:oddHBand="0" w:evenHBand="0" w:firstRowFirstColumn="0" w:firstRowLastColumn="0" w:lastRowFirstColumn="0" w:lastRowLastColumn="0"/>
            </w:pPr>
          </w:p>
        </w:tc>
      </w:tr>
      <w:tr w:rsidR="00B56DE1" w:rsidTr="00C91388">
        <w:trPr>
          <w:trHeight w:val="234"/>
        </w:trPr>
        <w:tc>
          <w:tcPr>
            <w:cnfStyle w:val="001000000000" w:firstRow="0" w:lastRow="0" w:firstColumn="1" w:lastColumn="0" w:oddVBand="0" w:evenVBand="0" w:oddHBand="0" w:evenHBand="0" w:firstRowFirstColumn="0" w:firstRowLastColumn="0" w:lastRowFirstColumn="0" w:lastRowLastColumn="0"/>
            <w:tcW w:w="3145" w:type="dxa"/>
          </w:tcPr>
          <w:p w:rsidR="00B56DE1" w:rsidRPr="00B56DE1" w:rsidRDefault="00813B4E" w:rsidP="00B56DE1">
            <w:pPr>
              <w:rPr>
                <w:b w:val="0"/>
              </w:rPr>
            </w:pPr>
            <w:hyperlink r:id="rId5" w:history="1">
              <w:r w:rsidR="00B56DE1" w:rsidRPr="00813B4E">
                <w:rPr>
                  <w:rStyle w:val="Hyperlink"/>
                  <w:b w:val="0"/>
                  <w:bCs w:val="0"/>
                </w:rPr>
                <w:t>Denied Persons List</w:t>
              </w:r>
            </w:hyperlink>
            <w:r w:rsidR="00B56DE1">
              <w:rPr>
                <w:b w:val="0"/>
              </w:rPr>
              <w:t>:</w:t>
            </w:r>
          </w:p>
        </w:tc>
        <w:tc>
          <w:tcPr>
            <w:tcW w:w="6178" w:type="dxa"/>
          </w:tcPr>
          <w:p w:rsidR="00B56DE1" w:rsidRDefault="00B56DE1" w:rsidP="00B56DE1">
            <w:pPr>
              <w:cnfStyle w:val="000000000000" w:firstRow="0" w:lastRow="0" w:firstColumn="0" w:lastColumn="0" w:oddVBand="0" w:evenVBand="0" w:oddHBand="0" w:evenHBand="0" w:firstRowFirstColumn="0" w:firstRowLastColumn="0" w:lastRowFirstColumn="0" w:lastRowLastColumn="0"/>
            </w:pPr>
            <w:r>
              <w:t xml:space="preserve">Parties on this list are not allowed to receive or participate in the export of commodities, software or technology that is subject to the </w:t>
            </w:r>
            <w:hyperlink r:id="rId6" w:history="1">
              <w:r w:rsidRPr="00B56DE1">
                <w:rPr>
                  <w:rStyle w:val="Hyperlink"/>
                </w:rPr>
                <w:t>Export Administration Regulations (EAR)</w:t>
              </w:r>
            </w:hyperlink>
            <w:r>
              <w:t>.</w:t>
            </w:r>
          </w:p>
        </w:tc>
      </w:tr>
      <w:tr w:rsidR="00B56DE1" w:rsidTr="00C91388">
        <w:trPr>
          <w:trHeight w:val="179"/>
        </w:trPr>
        <w:tc>
          <w:tcPr>
            <w:cnfStyle w:val="001000000000" w:firstRow="0" w:lastRow="0" w:firstColumn="1" w:lastColumn="0" w:oddVBand="0" w:evenVBand="0" w:oddHBand="0" w:evenHBand="0" w:firstRowFirstColumn="0" w:firstRowLastColumn="0" w:lastRowFirstColumn="0" w:lastRowLastColumn="0"/>
            <w:tcW w:w="3145" w:type="dxa"/>
          </w:tcPr>
          <w:p w:rsidR="00B56DE1" w:rsidRDefault="00B56DE1" w:rsidP="00B56DE1"/>
        </w:tc>
        <w:tc>
          <w:tcPr>
            <w:tcW w:w="6178" w:type="dxa"/>
          </w:tcPr>
          <w:p w:rsidR="00B56DE1" w:rsidRDefault="00B56DE1" w:rsidP="00B56DE1">
            <w:pPr>
              <w:cnfStyle w:val="000000000000" w:firstRow="0" w:lastRow="0" w:firstColumn="0" w:lastColumn="0" w:oddVBand="0" w:evenVBand="0" w:oddHBand="0" w:evenHBand="0" w:firstRowFirstColumn="0" w:firstRowLastColumn="0" w:lastRowFirstColumn="0" w:lastRowLastColumn="0"/>
            </w:pPr>
          </w:p>
        </w:tc>
      </w:tr>
      <w:tr w:rsidR="00B56DE1" w:rsidTr="00C91388">
        <w:trPr>
          <w:trHeight w:val="234"/>
        </w:trPr>
        <w:tc>
          <w:tcPr>
            <w:cnfStyle w:val="001000000000" w:firstRow="0" w:lastRow="0" w:firstColumn="1" w:lastColumn="0" w:oddVBand="0" w:evenVBand="0" w:oddHBand="0" w:evenHBand="0" w:firstRowFirstColumn="0" w:firstRowLastColumn="0" w:lastRowFirstColumn="0" w:lastRowLastColumn="0"/>
            <w:tcW w:w="3145" w:type="dxa"/>
          </w:tcPr>
          <w:p w:rsidR="00B56DE1" w:rsidRDefault="00813B4E" w:rsidP="00B56DE1">
            <w:pPr>
              <w:rPr>
                <w:bCs w:val="0"/>
              </w:rPr>
            </w:pPr>
            <w:hyperlink r:id="rId7" w:history="1">
              <w:r w:rsidRPr="00813B4E">
                <w:rPr>
                  <w:rStyle w:val="Hyperlink"/>
                  <w:b w:val="0"/>
                  <w:bCs w:val="0"/>
                </w:rPr>
                <w:t>Entity List:</w:t>
              </w:r>
            </w:hyperlink>
          </w:p>
          <w:p w:rsidR="00813B4E" w:rsidRPr="00813B4E" w:rsidRDefault="00813B4E" w:rsidP="00B56DE1">
            <w:pPr>
              <w:rPr>
                <w:b w:val="0"/>
              </w:rPr>
            </w:pPr>
            <w:r>
              <w:rPr>
                <w:b w:val="0"/>
              </w:rPr>
              <w:t>(Supplement No. 4 to Part 744 of the EAR)</w:t>
            </w:r>
          </w:p>
        </w:tc>
        <w:tc>
          <w:tcPr>
            <w:tcW w:w="6178" w:type="dxa"/>
          </w:tcPr>
          <w:p w:rsidR="00B56DE1" w:rsidRDefault="00813B4E" w:rsidP="00B56DE1">
            <w:pPr>
              <w:cnfStyle w:val="000000000000" w:firstRow="0" w:lastRow="0" w:firstColumn="0" w:lastColumn="0" w:oddVBand="0" w:evenVBand="0" w:oddHBand="0" w:evenHBand="0" w:firstRowFirstColumn="0" w:firstRowLastColumn="0" w:lastRowFirstColumn="0" w:lastRowLastColumn="0"/>
            </w:pPr>
            <w:r>
              <w:t>This list includes foreign persons (individuals, research institutions, companies, governments, private organizations) that require additional licensure prior to the export, reexport and/or transfer (in-country) of specific items.</w:t>
            </w:r>
          </w:p>
        </w:tc>
      </w:tr>
      <w:tr w:rsidR="00B56DE1" w:rsidTr="00C91388">
        <w:trPr>
          <w:trHeight w:val="224"/>
        </w:trPr>
        <w:tc>
          <w:tcPr>
            <w:cnfStyle w:val="001000000000" w:firstRow="0" w:lastRow="0" w:firstColumn="1" w:lastColumn="0" w:oddVBand="0" w:evenVBand="0" w:oddHBand="0" w:evenHBand="0" w:firstRowFirstColumn="0" w:firstRowLastColumn="0" w:lastRowFirstColumn="0" w:lastRowLastColumn="0"/>
            <w:tcW w:w="3145" w:type="dxa"/>
          </w:tcPr>
          <w:p w:rsidR="00B56DE1" w:rsidRDefault="00B56DE1" w:rsidP="00B56DE1"/>
        </w:tc>
        <w:tc>
          <w:tcPr>
            <w:tcW w:w="6178" w:type="dxa"/>
          </w:tcPr>
          <w:p w:rsidR="00B56DE1" w:rsidRDefault="00B56DE1" w:rsidP="00B56DE1">
            <w:pPr>
              <w:cnfStyle w:val="000000000000" w:firstRow="0" w:lastRow="0" w:firstColumn="0" w:lastColumn="0" w:oddVBand="0" w:evenVBand="0" w:oddHBand="0" w:evenHBand="0" w:firstRowFirstColumn="0" w:firstRowLastColumn="0" w:lastRowFirstColumn="0" w:lastRowLastColumn="0"/>
            </w:pPr>
          </w:p>
        </w:tc>
      </w:tr>
      <w:tr w:rsidR="00813B4E" w:rsidTr="00C91388">
        <w:trPr>
          <w:trHeight w:val="224"/>
        </w:trPr>
        <w:tc>
          <w:tcPr>
            <w:cnfStyle w:val="001000000000" w:firstRow="0" w:lastRow="0" w:firstColumn="1" w:lastColumn="0" w:oddVBand="0" w:evenVBand="0" w:oddHBand="0" w:evenHBand="0" w:firstRowFirstColumn="0" w:firstRowLastColumn="0" w:lastRowFirstColumn="0" w:lastRowLastColumn="0"/>
            <w:tcW w:w="3145" w:type="dxa"/>
          </w:tcPr>
          <w:p w:rsidR="00813B4E" w:rsidRDefault="001A6081" w:rsidP="00B56DE1">
            <w:pPr>
              <w:rPr>
                <w:bCs w:val="0"/>
              </w:rPr>
            </w:pPr>
            <w:hyperlink r:id="rId8" w:history="1">
              <w:r w:rsidR="00813B4E" w:rsidRPr="001A6081">
                <w:rPr>
                  <w:rStyle w:val="Hyperlink"/>
                  <w:b w:val="0"/>
                  <w:bCs w:val="0"/>
                </w:rPr>
                <w:t>Unverified List (UVL)</w:t>
              </w:r>
            </w:hyperlink>
            <w:r w:rsidR="00813B4E" w:rsidRPr="00813B4E">
              <w:rPr>
                <w:b w:val="0"/>
              </w:rPr>
              <w:t>:</w:t>
            </w:r>
          </w:p>
          <w:p w:rsidR="00813B4E" w:rsidRPr="00813B4E" w:rsidRDefault="00813B4E" w:rsidP="00B56DE1">
            <w:pPr>
              <w:rPr>
                <w:b w:val="0"/>
              </w:rPr>
            </w:pPr>
            <w:r>
              <w:rPr>
                <w:b w:val="0"/>
              </w:rPr>
              <w:t>(Supplement No. 6 to Part 744 of the EAR)</w:t>
            </w:r>
          </w:p>
        </w:tc>
        <w:tc>
          <w:tcPr>
            <w:tcW w:w="6178" w:type="dxa"/>
          </w:tcPr>
          <w:p w:rsidR="00813B4E" w:rsidRDefault="00813B4E" w:rsidP="00B56DE1">
            <w:pPr>
              <w:cnfStyle w:val="000000000000" w:firstRow="0" w:lastRow="0" w:firstColumn="0" w:lastColumn="0" w:oddVBand="0" w:evenVBand="0" w:oddHBand="0" w:evenHBand="0" w:firstRowFirstColumn="0" w:firstRowLastColumn="0" w:lastRowFirstColumn="0" w:lastRowLastColumn="0"/>
            </w:pPr>
            <w:r>
              <w:t xml:space="preserve">In addition to other restrictions within the EAR, </w:t>
            </w:r>
            <w:r w:rsidR="001A6081">
              <w:t xml:space="preserve">the use of a license exception is prohibited when exporting items subject to the EAR to </w:t>
            </w:r>
            <w:r>
              <w:t>parties on this list</w:t>
            </w:r>
            <w:r w:rsidR="001A6081">
              <w:t>.</w:t>
            </w:r>
          </w:p>
        </w:tc>
      </w:tr>
    </w:tbl>
    <w:p w:rsidR="001175E8" w:rsidRDefault="001175E8" w:rsidP="00B56DE1"/>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3145"/>
        <w:gridCol w:w="6178"/>
      </w:tblGrid>
      <w:tr w:rsidR="001A6081" w:rsidTr="00C91388">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145" w:type="dxa"/>
            <w:tcBorders>
              <w:bottom w:val="none" w:sz="0" w:space="0" w:color="auto"/>
            </w:tcBorders>
          </w:tcPr>
          <w:p w:rsidR="001A6081" w:rsidRDefault="001A6081" w:rsidP="0028595F">
            <w:r>
              <w:t xml:space="preserve">Department of </w:t>
            </w:r>
            <w:r>
              <w:t>State</w:t>
            </w:r>
            <w:r>
              <w:t xml:space="preserve"> (</w:t>
            </w:r>
            <w:r>
              <w:t>DDTC</w:t>
            </w:r>
            <w:r>
              <w:t>)</w:t>
            </w:r>
          </w:p>
        </w:tc>
        <w:tc>
          <w:tcPr>
            <w:tcW w:w="6178" w:type="dxa"/>
            <w:tcBorders>
              <w:bottom w:val="none" w:sz="0" w:space="0" w:color="auto"/>
            </w:tcBorders>
          </w:tcPr>
          <w:p w:rsidR="001A6081" w:rsidRDefault="001A6081" w:rsidP="0028595F">
            <w:pPr>
              <w:cnfStyle w:val="100000000000" w:firstRow="1" w:lastRow="0" w:firstColumn="0" w:lastColumn="0" w:oddVBand="0" w:evenVBand="0" w:oddHBand="0" w:evenHBand="0" w:firstRowFirstColumn="0" w:firstRowLastColumn="0" w:lastRowFirstColumn="0" w:lastRowLastColumn="0"/>
            </w:pPr>
          </w:p>
        </w:tc>
      </w:tr>
      <w:tr w:rsidR="001A6081" w:rsidTr="00C91388">
        <w:trPr>
          <w:trHeight w:val="234"/>
        </w:trPr>
        <w:tc>
          <w:tcPr>
            <w:cnfStyle w:val="001000000000" w:firstRow="0" w:lastRow="0" w:firstColumn="1" w:lastColumn="0" w:oddVBand="0" w:evenVBand="0" w:oddHBand="0" w:evenHBand="0" w:firstRowFirstColumn="0" w:firstRowLastColumn="0" w:lastRowFirstColumn="0" w:lastRowLastColumn="0"/>
            <w:tcW w:w="3145" w:type="dxa"/>
          </w:tcPr>
          <w:p w:rsidR="001A6081" w:rsidRPr="00B56DE1" w:rsidRDefault="001A6081" w:rsidP="0028595F">
            <w:pPr>
              <w:rPr>
                <w:b w:val="0"/>
              </w:rPr>
            </w:pPr>
            <w:hyperlink r:id="rId9" w:history="1">
              <w:r w:rsidR="00C91388">
                <w:rPr>
                  <w:rStyle w:val="Hyperlink"/>
                  <w:b w:val="0"/>
                  <w:bCs w:val="0"/>
                </w:rPr>
                <w:t>Arms Export Control Act (AECA) Debarred Parties</w:t>
              </w:r>
            </w:hyperlink>
          </w:p>
        </w:tc>
        <w:tc>
          <w:tcPr>
            <w:tcW w:w="6178" w:type="dxa"/>
          </w:tcPr>
          <w:p w:rsidR="001A6081" w:rsidRDefault="00C91388" w:rsidP="0028595F">
            <w:pPr>
              <w:cnfStyle w:val="000000000000" w:firstRow="0" w:lastRow="0" w:firstColumn="0" w:lastColumn="0" w:oddVBand="0" w:evenVBand="0" w:oddHBand="0" w:evenHBand="0" w:firstRowFirstColumn="0" w:firstRowLastColumn="0" w:lastRowFirstColumn="0" w:lastRowLastColumn="0"/>
            </w:pPr>
            <w:r>
              <w:t>There are two lists – the Statutory Debarment List</w:t>
            </w:r>
            <w:r w:rsidR="00E2122E">
              <w:t>, which includes parties convicted or violating or conspiring to violate the AECA,</w:t>
            </w:r>
            <w:r>
              <w:t xml:space="preserve"> and the Administrative Debarment List. </w:t>
            </w:r>
            <w:r w:rsidR="001A6081">
              <w:t>Parties on th</w:t>
            </w:r>
            <w:r>
              <w:t>e</w:t>
            </w:r>
            <w:r w:rsidR="001A6081">
              <w:t>s</w:t>
            </w:r>
            <w:r>
              <w:t>e</w:t>
            </w:r>
            <w:r w:rsidR="001A6081">
              <w:t xml:space="preserve"> list</w:t>
            </w:r>
            <w:r>
              <w:t>s</w:t>
            </w:r>
            <w:r w:rsidR="001A6081">
              <w:t xml:space="preserve"> are not allowed to receive or participate in the export of </w:t>
            </w:r>
            <w:r w:rsidR="001A6081">
              <w:t xml:space="preserve">defense articles or defense services </w:t>
            </w:r>
            <w:r w:rsidR="001A6081">
              <w:t xml:space="preserve">that </w:t>
            </w:r>
            <w:r w:rsidR="001A6081">
              <w:t>are</w:t>
            </w:r>
            <w:r w:rsidR="001A6081">
              <w:t xml:space="preserve"> subject to the </w:t>
            </w:r>
            <w:hyperlink r:id="rId10" w:history="1">
              <w:r w:rsidRPr="00C91388">
                <w:rPr>
                  <w:rStyle w:val="Hyperlink"/>
                </w:rPr>
                <w:t>International Traffic in Arms Regulations (ITAR)</w:t>
              </w:r>
            </w:hyperlink>
            <w:r>
              <w:t>.</w:t>
            </w:r>
          </w:p>
        </w:tc>
      </w:tr>
      <w:tr w:rsidR="001A6081" w:rsidTr="00C91388">
        <w:trPr>
          <w:trHeight w:val="224"/>
        </w:trPr>
        <w:tc>
          <w:tcPr>
            <w:cnfStyle w:val="001000000000" w:firstRow="0" w:lastRow="0" w:firstColumn="1" w:lastColumn="0" w:oddVBand="0" w:evenVBand="0" w:oddHBand="0" w:evenHBand="0" w:firstRowFirstColumn="0" w:firstRowLastColumn="0" w:lastRowFirstColumn="0" w:lastRowLastColumn="0"/>
            <w:tcW w:w="3145" w:type="dxa"/>
          </w:tcPr>
          <w:p w:rsidR="001A6081" w:rsidRDefault="001A6081" w:rsidP="0028595F"/>
        </w:tc>
        <w:tc>
          <w:tcPr>
            <w:tcW w:w="6178" w:type="dxa"/>
          </w:tcPr>
          <w:p w:rsidR="001A6081" w:rsidRDefault="001A6081" w:rsidP="0028595F">
            <w:pPr>
              <w:cnfStyle w:val="000000000000" w:firstRow="0" w:lastRow="0" w:firstColumn="0" w:lastColumn="0" w:oddVBand="0" w:evenVBand="0" w:oddHBand="0" w:evenHBand="0" w:firstRowFirstColumn="0" w:firstRowLastColumn="0" w:lastRowFirstColumn="0" w:lastRowLastColumn="0"/>
            </w:pPr>
          </w:p>
        </w:tc>
      </w:tr>
      <w:tr w:rsidR="00FA16EA" w:rsidTr="00C91388">
        <w:trPr>
          <w:trHeight w:val="224"/>
        </w:trPr>
        <w:tc>
          <w:tcPr>
            <w:cnfStyle w:val="001000000000" w:firstRow="0" w:lastRow="0" w:firstColumn="1" w:lastColumn="0" w:oddVBand="0" w:evenVBand="0" w:oddHBand="0" w:evenHBand="0" w:firstRowFirstColumn="0" w:firstRowLastColumn="0" w:lastRowFirstColumn="0" w:lastRowLastColumn="0"/>
            <w:tcW w:w="3145" w:type="dxa"/>
          </w:tcPr>
          <w:p w:rsidR="00FA16EA" w:rsidRPr="00FA16EA" w:rsidRDefault="00FA16EA" w:rsidP="0028595F">
            <w:pPr>
              <w:rPr>
                <w:b w:val="0"/>
              </w:rPr>
            </w:pPr>
            <w:hyperlink r:id="rId11" w:history="1">
              <w:r w:rsidRPr="00FA16EA">
                <w:rPr>
                  <w:rStyle w:val="Hyperlink"/>
                  <w:b w:val="0"/>
                  <w:bCs w:val="0"/>
                </w:rPr>
                <w:t>Nonproliferation Sanctions</w:t>
              </w:r>
            </w:hyperlink>
          </w:p>
        </w:tc>
        <w:tc>
          <w:tcPr>
            <w:tcW w:w="6178" w:type="dxa"/>
          </w:tcPr>
          <w:p w:rsidR="00FA16EA" w:rsidRDefault="00FA16EA" w:rsidP="0028595F">
            <w:pPr>
              <w:cnfStyle w:val="000000000000" w:firstRow="0" w:lastRow="0" w:firstColumn="0" w:lastColumn="0" w:oddVBand="0" w:evenVBand="0" w:oddHBand="0" w:evenHBand="0" w:firstRowFirstColumn="0" w:firstRowLastColumn="0" w:lastRowFirstColumn="0" w:lastRowLastColumn="0"/>
            </w:pPr>
            <w:r>
              <w:t>Individuals, entities and governments that engage in proliferation activities are included on this list.</w:t>
            </w:r>
          </w:p>
        </w:tc>
      </w:tr>
    </w:tbl>
    <w:p w:rsidR="001175E8" w:rsidRDefault="001175E8"/>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3145"/>
        <w:gridCol w:w="6178"/>
      </w:tblGrid>
      <w:tr w:rsidR="00C91388" w:rsidTr="00E2122E">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323" w:type="dxa"/>
            <w:gridSpan w:val="2"/>
            <w:tcBorders>
              <w:bottom w:val="none" w:sz="0" w:space="0" w:color="auto"/>
            </w:tcBorders>
          </w:tcPr>
          <w:p w:rsidR="00C91388" w:rsidRDefault="00C91388" w:rsidP="0028595F">
            <w:r>
              <w:t xml:space="preserve">Department of </w:t>
            </w:r>
            <w:r>
              <w:t>Treasury, Office of Foreign Assets Control</w:t>
            </w:r>
            <w:r>
              <w:t xml:space="preserve"> (</w:t>
            </w:r>
            <w:r>
              <w:t>OFAC</w:t>
            </w:r>
            <w:r>
              <w:t>)</w:t>
            </w:r>
          </w:p>
        </w:tc>
      </w:tr>
      <w:tr w:rsidR="00C91388" w:rsidTr="00E2122E">
        <w:trPr>
          <w:trHeight w:val="234"/>
        </w:trPr>
        <w:tc>
          <w:tcPr>
            <w:cnfStyle w:val="001000000000" w:firstRow="0" w:lastRow="0" w:firstColumn="1" w:lastColumn="0" w:oddVBand="0" w:evenVBand="0" w:oddHBand="0" w:evenHBand="0" w:firstRowFirstColumn="0" w:firstRowLastColumn="0" w:lastRowFirstColumn="0" w:lastRowLastColumn="0"/>
            <w:tcW w:w="3145" w:type="dxa"/>
          </w:tcPr>
          <w:p w:rsidR="00C91388" w:rsidRPr="00B56DE1" w:rsidRDefault="00E2122E" w:rsidP="0028595F">
            <w:pPr>
              <w:rPr>
                <w:b w:val="0"/>
              </w:rPr>
            </w:pPr>
            <w:hyperlink r:id="rId12" w:history="1">
              <w:r>
                <w:rPr>
                  <w:rStyle w:val="Hyperlink"/>
                  <w:b w:val="0"/>
                  <w:bCs w:val="0"/>
                </w:rPr>
                <w:t>Specially Designated Nationals (SDN) and Blocked Persons List</w:t>
              </w:r>
            </w:hyperlink>
            <w:r w:rsidR="00C91388">
              <w:rPr>
                <w:b w:val="0"/>
              </w:rPr>
              <w:t>:</w:t>
            </w:r>
          </w:p>
        </w:tc>
        <w:tc>
          <w:tcPr>
            <w:tcW w:w="6178" w:type="dxa"/>
          </w:tcPr>
          <w:p w:rsidR="00C91388" w:rsidRDefault="00E2122E" w:rsidP="0028595F">
            <w:pPr>
              <w:cnfStyle w:val="000000000000" w:firstRow="0" w:lastRow="0" w:firstColumn="0" w:lastColumn="0" w:oddVBand="0" w:evenVBand="0" w:oddHBand="0" w:evenHBand="0" w:firstRowFirstColumn="0" w:firstRowLastColumn="0" w:lastRowFirstColumn="0" w:lastRowLastColumn="0"/>
            </w:pPr>
            <w:r>
              <w:t>OFAC publishes this list of individuals and companies owned, controlled by, or acting for or on behalf of, targeted countries. Also included are individuals, groups, and entities such as terrorists and narcotics traffickers designated under programs that are not country specific. There is general presumption of denial for permission to engage with parties on this list.</w:t>
            </w:r>
          </w:p>
        </w:tc>
      </w:tr>
      <w:tr w:rsidR="00C91388" w:rsidTr="00E2122E">
        <w:trPr>
          <w:trHeight w:val="224"/>
        </w:trPr>
        <w:tc>
          <w:tcPr>
            <w:cnfStyle w:val="001000000000" w:firstRow="0" w:lastRow="0" w:firstColumn="1" w:lastColumn="0" w:oddVBand="0" w:evenVBand="0" w:oddHBand="0" w:evenHBand="0" w:firstRowFirstColumn="0" w:firstRowLastColumn="0" w:lastRowFirstColumn="0" w:lastRowLastColumn="0"/>
            <w:tcW w:w="3145" w:type="dxa"/>
          </w:tcPr>
          <w:p w:rsidR="00C91388" w:rsidRDefault="00C91388" w:rsidP="0028595F"/>
        </w:tc>
        <w:tc>
          <w:tcPr>
            <w:tcW w:w="6178" w:type="dxa"/>
          </w:tcPr>
          <w:p w:rsidR="00C91388" w:rsidRDefault="00C91388" w:rsidP="0028595F">
            <w:pPr>
              <w:cnfStyle w:val="000000000000" w:firstRow="0" w:lastRow="0" w:firstColumn="0" w:lastColumn="0" w:oddVBand="0" w:evenVBand="0" w:oddHBand="0" w:evenHBand="0" w:firstRowFirstColumn="0" w:firstRowLastColumn="0" w:lastRowFirstColumn="0" w:lastRowLastColumn="0"/>
            </w:pPr>
          </w:p>
        </w:tc>
      </w:tr>
      <w:tr w:rsidR="00C91388" w:rsidTr="00E2122E">
        <w:trPr>
          <w:trHeight w:val="234"/>
        </w:trPr>
        <w:tc>
          <w:tcPr>
            <w:cnfStyle w:val="001000000000" w:firstRow="0" w:lastRow="0" w:firstColumn="1" w:lastColumn="0" w:oddVBand="0" w:evenVBand="0" w:oddHBand="0" w:evenHBand="0" w:firstRowFirstColumn="0" w:firstRowLastColumn="0" w:lastRowFirstColumn="0" w:lastRowLastColumn="0"/>
            <w:tcW w:w="3145" w:type="dxa"/>
          </w:tcPr>
          <w:p w:rsidR="00C91388" w:rsidRPr="00813B4E" w:rsidRDefault="00E2122E" w:rsidP="0028595F">
            <w:pPr>
              <w:rPr>
                <w:b w:val="0"/>
              </w:rPr>
            </w:pPr>
            <w:hyperlink r:id="rId13" w:history="1">
              <w:r w:rsidRPr="00E2122E">
                <w:rPr>
                  <w:rStyle w:val="Hyperlink"/>
                  <w:b w:val="0"/>
                  <w:bCs w:val="0"/>
                </w:rPr>
                <w:t>Foreign Sanctions Evaders (FSE) List:</w:t>
              </w:r>
            </w:hyperlink>
          </w:p>
        </w:tc>
        <w:tc>
          <w:tcPr>
            <w:tcW w:w="6178" w:type="dxa"/>
          </w:tcPr>
          <w:p w:rsidR="00C91388" w:rsidRDefault="00C91388" w:rsidP="0028595F">
            <w:pPr>
              <w:cnfStyle w:val="000000000000" w:firstRow="0" w:lastRow="0" w:firstColumn="0" w:lastColumn="0" w:oddVBand="0" w:evenVBand="0" w:oddHBand="0" w:evenHBand="0" w:firstRowFirstColumn="0" w:firstRowLastColumn="0" w:lastRowFirstColumn="0" w:lastRowLastColumn="0"/>
            </w:pPr>
            <w:r>
              <w:t>This list includes foreign</w:t>
            </w:r>
            <w:r w:rsidR="00E2122E">
              <w:t xml:space="preserve"> individuals and entities determined to have violated, attempted to violate, conspired to violate or caused a violation of U.S. sanctions on Syria or Iran pursuant to EO 13608</w:t>
            </w:r>
            <w:r>
              <w:t>.</w:t>
            </w:r>
          </w:p>
        </w:tc>
      </w:tr>
    </w:tbl>
    <w:p w:rsidR="00C91388" w:rsidRDefault="00C91388"/>
    <w:p w:rsidR="00C57AC9" w:rsidRDefault="007A674A">
      <w:r>
        <w:t xml:space="preserve">To help mitigate the risk of an </w:t>
      </w:r>
      <w:r w:rsidR="003C144C">
        <w:t>inadverten</w:t>
      </w:r>
      <w:r>
        <w:t>t</w:t>
      </w:r>
      <w:r w:rsidR="003C144C">
        <w:t xml:space="preserve"> violat</w:t>
      </w:r>
      <w:r>
        <w:t>ion, WSU uses Amber Road software to conduct restricted party screenings against the</w:t>
      </w:r>
      <w:r w:rsidR="00C31476">
        <w:t>se</w:t>
      </w:r>
      <w:r>
        <w:t xml:space="preserve"> lists. </w:t>
      </w:r>
      <w:r w:rsidR="00C31476">
        <w:t xml:space="preserve">Researchers and staff are encouraged to contact the </w:t>
      </w:r>
      <w:hyperlink r:id="rId14" w:history="1">
        <w:r w:rsidR="00C31476" w:rsidRPr="00FA16EA">
          <w:rPr>
            <w:rStyle w:val="Hyperlink"/>
          </w:rPr>
          <w:t>Office of Research Compliance</w:t>
        </w:r>
      </w:hyperlink>
      <w:r w:rsidR="00C31476">
        <w:t xml:space="preserve"> in order to ob</w:t>
      </w:r>
      <w:bookmarkStart w:id="0" w:name="_GoBack"/>
      <w:bookmarkEnd w:id="0"/>
      <w:r w:rsidR="00C31476">
        <w:t>tain access to this software.</w:t>
      </w:r>
    </w:p>
    <w:sectPr w:rsidR="00C57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8A03F8"/>
    <w:multiLevelType w:val="hybridMultilevel"/>
    <w:tmpl w:val="B368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C9"/>
    <w:rsid w:val="001175E8"/>
    <w:rsid w:val="00142575"/>
    <w:rsid w:val="001A6081"/>
    <w:rsid w:val="003C144C"/>
    <w:rsid w:val="007A674A"/>
    <w:rsid w:val="00813B4E"/>
    <w:rsid w:val="00B56DE1"/>
    <w:rsid w:val="00C31476"/>
    <w:rsid w:val="00C57AC9"/>
    <w:rsid w:val="00C64253"/>
    <w:rsid w:val="00C91388"/>
    <w:rsid w:val="00DD17BE"/>
    <w:rsid w:val="00E2122E"/>
    <w:rsid w:val="00FA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D4D7"/>
  <w15:chartTrackingRefBased/>
  <w15:docId w15:val="{C732E94C-E2D1-492C-B290-9B97B5F0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476"/>
    <w:pPr>
      <w:ind w:left="720"/>
      <w:contextualSpacing/>
    </w:pPr>
  </w:style>
  <w:style w:type="table" w:styleId="TableGrid">
    <w:name w:val="Table Grid"/>
    <w:basedOn w:val="TableNormal"/>
    <w:uiPriority w:val="39"/>
    <w:rsid w:val="00C31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B56DE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PlainTable3">
    <w:name w:val="Plain Table 3"/>
    <w:basedOn w:val="TableNormal"/>
    <w:uiPriority w:val="43"/>
    <w:rsid w:val="00B56DE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4">
    <w:name w:val="Grid Table 1 Light Accent 4"/>
    <w:basedOn w:val="TableNormal"/>
    <w:uiPriority w:val="46"/>
    <w:rsid w:val="00B56DE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B56D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B56DE1"/>
    <w:rPr>
      <w:color w:val="0563C1" w:themeColor="hyperlink"/>
      <w:u w:val="single"/>
    </w:rPr>
  </w:style>
  <w:style w:type="character" w:styleId="UnresolvedMention">
    <w:name w:val="Unresolved Mention"/>
    <w:basedOn w:val="DefaultParagraphFont"/>
    <w:uiPriority w:val="99"/>
    <w:semiHidden/>
    <w:unhideWhenUsed/>
    <w:rsid w:val="00B56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doc.gov/index.php/documents/regulations-docs/2343-744-1/file" TargetMode="External"/><Relationship Id="rId13" Type="http://schemas.openxmlformats.org/officeDocument/2006/relationships/hyperlink" Target="https://www.treasury.gov/resource-center/sanctions/sdn-list/pages/fse_list.aspx" TargetMode="External"/><Relationship Id="rId3" Type="http://schemas.openxmlformats.org/officeDocument/2006/relationships/settings" Target="settings.xml"/><Relationship Id="rId7" Type="http://schemas.openxmlformats.org/officeDocument/2006/relationships/hyperlink" Target="https://www.bis.doc.gov/index.php/documents/regulations-docs/2347-744-supp-4-10-30-18/file" TargetMode="External"/><Relationship Id="rId12" Type="http://schemas.openxmlformats.org/officeDocument/2006/relationships/hyperlink" Target="https://www.treasury.gov/resource-center/sanctions/SDN-List/Pages/default.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is.doc.gov/index.php/regulations/export-administration-regulations-ear" TargetMode="External"/><Relationship Id="rId11" Type="http://schemas.openxmlformats.org/officeDocument/2006/relationships/hyperlink" Target="https://www.state.gov/t/isn/c15231.htm" TargetMode="External"/><Relationship Id="rId5" Type="http://schemas.openxmlformats.org/officeDocument/2006/relationships/hyperlink" Target="https://www.bis.doc.gov/index.php/policy-guidance/lists-of-parties-of-concern/denied-persons-list" TargetMode="External"/><Relationship Id="rId15" Type="http://schemas.openxmlformats.org/officeDocument/2006/relationships/fontTable" Target="fontTable.xml"/><Relationship Id="rId10" Type="http://schemas.openxmlformats.org/officeDocument/2006/relationships/hyperlink" Target="https://www.pmddtc.state.gov/?id=ddtc_kb_article_page&amp;sys_id=24d528fddbfc930044f9ff621f961987" TargetMode="External"/><Relationship Id="rId4" Type="http://schemas.openxmlformats.org/officeDocument/2006/relationships/webSettings" Target="webSettings.xml"/><Relationship Id="rId9" Type="http://schemas.openxmlformats.org/officeDocument/2006/relationships/hyperlink" Target="https://www.pmddtc.state.gov/?id=ddtc_kb_article_page&amp;sys_id=c22d1833dbb8d300d0a370131f9619f0" TargetMode="External"/><Relationship Id="rId14" Type="http://schemas.openxmlformats.org/officeDocument/2006/relationships/hyperlink" Target="mailto:compliance@wichi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Hundley</dc:creator>
  <cp:keywords/>
  <dc:description/>
  <cp:lastModifiedBy>Becky Hundley</cp:lastModifiedBy>
  <cp:revision>1</cp:revision>
  <dcterms:created xsi:type="dcterms:W3CDTF">2019-04-29T21:06:00Z</dcterms:created>
  <dcterms:modified xsi:type="dcterms:W3CDTF">2019-04-29T23:02:00Z</dcterms:modified>
</cp:coreProperties>
</file>